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D6EE" w14:textId="77777777" w:rsidR="00234FBB" w:rsidRPr="00092AAC" w:rsidRDefault="00234FBB">
      <w:pPr>
        <w:rPr>
          <w:rStyle w:val="nfasis"/>
        </w:rPr>
      </w:pPr>
    </w:p>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540DF9" w14:paraId="78E93B49"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79B49DF" w14:textId="77777777" w:rsidR="0026513E" w:rsidRPr="00540DF9" w:rsidRDefault="00795C6B" w:rsidP="002264B8">
            <w:pPr>
              <w:pStyle w:val="Ttulo2"/>
              <w:ind w:right="72"/>
              <w:jc w:val="left"/>
              <w:rPr>
                <w:rFonts w:cs="Arial"/>
                <w:bCs/>
                <w:color w:val="FFFFFF"/>
              </w:rPr>
            </w:pPr>
            <w:r w:rsidRPr="00540DF9">
              <w:rPr>
                <w:rFonts w:cs="Arial"/>
                <w:color w:val="FFFFFF"/>
                <w:lang w:val="es-CO"/>
              </w:rPr>
              <w:t>Entidad</w:t>
            </w:r>
            <w:r w:rsidR="00086B16" w:rsidRPr="00540DF9">
              <w:rPr>
                <w:rFonts w:cs="Arial"/>
                <w:color w:val="FFFFFF"/>
                <w:lang w:val="es-CO"/>
              </w:rPr>
              <w:t xml:space="preserve"> </w:t>
            </w:r>
            <w:r w:rsidRPr="00540DF9">
              <w:rPr>
                <w:rFonts w:cs="Arial"/>
                <w:color w:val="FFFFFF"/>
                <w:lang w:val="es-CO"/>
              </w:rPr>
              <w:t>originadora</w:t>
            </w:r>
            <w:r w:rsidR="00293F29" w:rsidRPr="00540DF9">
              <w:rPr>
                <w:rFonts w:cs="Arial"/>
                <w:color w:val="FFFFFF"/>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B6DA895" w14:textId="77777777" w:rsidR="0026513E" w:rsidRPr="00540DF9" w:rsidRDefault="00D5166D" w:rsidP="00795C6B">
            <w:pPr>
              <w:pStyle w:val="Ttulo2"/>
              <w:ind w:left="72" w:right="72"/>
              <w:jc w:val="left"/>
              <w:rPr>
                <w:rFonts w:cs="Arial"/>
                <w:b w:val="0"/>
                <w:iCs/>
              </w:rPr>
            </w:pPr>
            <w:r w:rsidRPr="00540DF9">
              <w:rPr>
                <w:rFonts w:cs="Arial"/>
                <w:b w:val="0"/>
                <w:iCs/>
              </w:rPr>
              <w:t>Departamento Administrativo para la Prosperidad Social</w:t>
            </w:r>
          </w:p>
        </w:tc>
      </w:tr>
      <w:tr w:rsidR="005C4522" w:rsidRPr="00540DF9" w14:paraId="6A7A27B5"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6945396" w14:textId="77777777" w:rsidR="00C47F73" w:rsidRPr="00540DF9" w:rsidRDefault="0026513E" w:rsidP="002264B8">
            <w:pPr>
              <w:pStyle w:val="Ttulo2"/>
              <w:ind w:right="72"/>
              <w:jc w:val="left"/>
              <w:rPr>
                <w:rFonts w:cs="Arial"/>
                <w:bCs/>
                <w:color w:val="FFFFFF"/>
              </w:rPr>
            </w:pPr>
            <w:r w:rsidRPr="00540DF9">
              <w:rPr>
                <w:rFonts w:cs="Arial"/>
                <w:bCs/>
                <w:color w:val="FFFFFF"/>
              </w:rPr>
              <w:t>Fecha</w:t>
            </w:r>
            <w:r w:rsidR="00BB545F" w:rsidRPr="00540DF9">
              <w:rPr>
                <w:rFonts w:cs="Arial"/>
                <w:bCs/>
                <w:color w:val="FFFFFF"/>
              </w:rPr>
              <w:t xml:space="preserve"> (</w:t>
            </w:r>
            <w:proofErr w:type="spellStart"/>
            <w:r w:rsidR="00BB545F" w:rsidRPr="00540DF9">
              <w:rPr>
                <w:rFonts w:cs="Arial"/>
                <w:bCs/>
                <w:color w:val="FFFFFF"/>
              </w:rPr>
              <w:t>dd</w:t>
            </w:r>
            <w:proofErr w:type="spellEnd"/>
            <w:r w:rsidR="00BB545F" w:rsidRPr="00540DF9">
              <w:rPr>
                <w:rFonts w:cs="Arial"/>
                <w:bCs/>
                <w:color w:val="FFFFFF"/>
              </w:rPr>
              <w:t>/mm/</w:t>
            </w:r>
            <w:proofErr w:type="spellStart"/>
            <w:r w:rsidR="00BB545F" w:rsidRPr="00540DF9">
              <w:rPr>
                <w:rFonts w:cs="Arial"/>
                <w:bCs/>
                <w:color w:val="FFFFFF"/>
              </w:rPr>
              <w:t>aa</w:t>
            </w:r>
            <w:proofErr w:type="spellEnd"/>
            <w:r w:rsidR="00BB545F" w:rsidRPr="00540DF9">
              <w:rPr>
                <w:rFonts w:cs="Arial"/>
                <w:bCs/>
                <w:color w:val="FFFFFF"/>
              </w:rPr>
              <w:t>)</w:t>
            </w:r>
            <w:r w:rsidR="00293F29" w:rsidRPr="00540DF9">
              <w:rPr>
                <w:rFonts w:cs="Arial"/>
                <w:bCs/>
                <w:color w:val="FFFFFF"/>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35762E8" w14:textId="709509AE" w:rsidR="00C47F73" w:rsidRPr="00540DF9" w:rsidRDefault="00D5166D" w:rsidP="005F30C3">
            <w:pPr>
              <w:pStyle w:val="Ttulo2"/>
              <w:ind w:left="72" w:right="72"/>
              <w:jc w:val="left"/>
              <w:rPr>
                <w:rFonts w:cs="Arial"/>
                <w:b w:val="0"/>
                <w:iCs/>
              </w:rPr>
            </w:pPr>
            <w:r w:rsidRPr="00540DF9">
              <w:rPr>
                <w:rFonts w:cs="Arial"/>
                <w:b w:val="0"/>
                <w:iCs/>
              </w:rPr>
              <w:t>0</w:t>
            </w:r>
            <w:r w:rsidR="008803CA">
              <w:rPr>
                <w:rFonts w:cs="Arial"/>
                <w:b w:val="0"/>
                <w:iCs/>
              </w:rPr>
              <w:t>4</w:t>
            </w:r>
            <w:r w:rsidRPr="00540DF9">
              <w:rPr>
                <w:rFonts w:cs="Arial"/>
                <w:b w:val="0"/>
                <w:iCs/>
              </w:rPr>
              <w:t>/10/2021</w:t>
            </w:r>
          </w:p>
        </w:tc>
      </w:tr>
      <w:tr w:rsidR="005C4522" w:rsidRPr="00540DF9" w14:paraId="49ACEFF3" w14:textId="77777777" w:rsidTr="00696582">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6B524B41" w14:textId="77777777" w:rsidR="0059316B" w:rsidRPr="00540DF9" w:rsidRDefault="00A55DB6" w:rsidP="002264B8">
            <w:pPr>
              <w:pStyle w:val="Ttulo2"/>
              <w:ind w:right="72"/>
              <w:jc w:val="left"/>
              <w:rPr>
                <w:rFonts w:cs="Arial"/>
                <w:bCs/>
                <w:color w:val="FFFFFF"/>
              </w:rPr>
            </w:pPr>
            <w:r w:rsidRPr="00540DF9">
              <w:rPr>
                <w:rFonts w:cs="Arial"/>
                <w:bCs/>
                <w:color w:val="FFFFFF"/>
              </w:rPr>
              <w:t xml:space="preserve">Proyecto de </w:t>
            </w:r>
            <w:r w:rsidR="00587695" w:rsidRPr="00540DF9">
              <w:rPr>
                <w:rFonts w:cs="Arial"/>
                <w:bCs/>
                <w:color w:val="FFFFFF"/>
              </w:rPr>
              <w:t>D</w:t>
            </w:r>
            <w:r w:rsidRPr="00540DF9">
              <w:rPr>
                <w:rFonts w:cs="Arial"/>
                <w:bCs/>
                <w:color w:val="FFFFFF"/>
              </w:rPr>
              <w:t>ecreto</w:t>
            </w:r>
            <w:r w:rsidR="00795C6B" w:rsidRPr="00540DF9">
              <w:rPr>
                <w:rFonts w:cs="Arial"/>
                <w:bCs/>
                <w:color w:val="FFFFFF"/>
              </w:rPr>
              <w:t>/Resolución</w:t>
            </w:r>
            <w:r w:rsidR="00293F29" w:rsidRPr="00540DF9">
              <w:rPr>
                <w:rFonts w:cs="Arial"/>
                <w:bCs/>
                <w:color w:val="FFFFFF"/>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4F1DEA28" w14:textId="5F72067B" w:rsidR="001F238A" w:rsidRPr="00540DF9" w:rsidRDefault="00092AAC" w:rsidP="006F42D1">
            <w:pPr>
              <w:pStyle w:val="Ttulo2"/>
              <w:ind w:left="72" w:right="72"/>
              <w:jc w:val="both"/>
              <w:rPr>
                <w:rFonts w:cs="Arial"/>
                <w:iCs/>
                <w:spacing w:val="-3"/>
              </w:rPr>
            </w:pPr>
            <w:r>
              <w:rPr>
                <w:rFonts w:cs="Arial"/>
                <w:b w:val="0"/>
                <w:iCs/>
              </w:rPr>
              <w:t>«</w:t>
            </w:r>
            <w:r w:rsidR="00D5166D" w:rsidRPr="00540DF9">
              <w:rPr>
                <w:rFonts w:cs="Arial"/>
                <w:b w:val="0"/>
                <w:iCs/>
              </w:rPr>
              <w:t xml:space="preserve">Por </w:t>
            </w:r>
            <w:r w:rsidR="008803CA">
              <w:rPr>
                <w:rFonts w:cs="Arial"/>
                <w:b w:val="0"/>
                <w:iCs/>
              </w:rPr>
              <w:t xml:space="preserve">medio de </w:t>
            </w:r>
            <w:r w:rsidR="00D5166D" w:rsidRPr="00540DF9">
              <w:rPr>
                <w:rFonts w:cs="Arial"/>
                <w:b w:val="0"/>
                <w:iCs/>
              </w:rPr>
              <w:t>la cual se modifica la</w:t>
            </w:r>
            <w:r w:rsidR="00743837" w:rsidRPr="00540DF9">
              <w:rPr>
                <w:rFonts w:cs="Arial"/>
                <w:b w:val="0"/>
                <w:iCs/>
              </w:rPr>
              <w:t xml:space="preserve"> Resolución </w:t>
            </w:r>
            <w:r w:rsidR="00D652D8" w:rsidRPr="00540DF9">
              <w:rPr>
                <w:rFonts w:cs="Arial"/>
                <w:b w:val="0"/>
                <w:iCs/>
              </w:rPr>
              <w:t>No. 02279 del 25 de septiembre de 2018</w:t>
            </w:r>
            <w:r w:rsidR="00D5166D" w:rsidRPr="00540DF9">
              <w:rPr>
                <w:rFonts w:cs="Arial"/>
                <w:b w:val="0"/>
                <w:iCs/>
              </w:rPr>
              <w:t xml:space="preserve"> </w:t>
            </w:r>
            <w:r w:rsidR="00285137" w:rsidRPr="00285137">
              <w:rPr>
                <w:rFonts w:cs="Arial"/>
                <w:b w:val="0"/>
                <w:i/>
              </w:rPr>
              <w:t>“</w:t>
            </w:r>
            <w:r w:rsidR="006F42D1" w:rsidRPr="00285137">
              <w:rPr>
                <w:rFonts w:cs="Arial"/>
                <w:b w:val="0"/>
                <w:i/>
              </w:rPr>
              <w:t>Por medio de la cual se adopta la guía para el cálculo de provisiones y reconocimiento contable de los procesos judiciales, arbitramentos y conciliaciones extrajudiciales en los que la entidad es parte y embargos de cuentas bancarias en Prosperidad Social</w:t>
            </w:r>
            <w:r w:rsidR="00285137" w:rsidRPr="00285137">
              <w:rPr>
                <w:rFonts w:cs="Arial"/>
                <w:b w:val="0"/>
                <w:i/>
              </w:rPr>
              <w:t>”</w:t>
            </w:r>
            <w:r>
              <w:rPr>
                <w:rFonts w:cs="Arial"/>
                <w:b w:val="0"/>
                <w:iCs/>
              </w:rPr>
              <w:t>»</w:t>
            </w:r>
          </w:p>
        </w:tc>
      </w:tr>
      <w:tr w:rsidR="00DF60FD" w:rsidRPr="00540DF9" w14:paraId="1EEC9BA2" w14:textId="77777777" w:rsidTr="0075705D">
        <w:trPr>
          <w:trHeight w:val="674"/>
        </w:trPr>
        <w:tc>
          <w:tcPr>
            <w:tcW w:w="10774" w:type="dxa"/>
            <w:gridSpan w:val="3"/>
            <w:tcBorders>
              <w:top w:val="single" w:sz="4" w:space="0" w:color="auto"/>
            </w:tcBorders>
            <w:shd w:val="clear" w:color="auto" w:fill="FFFFFF"/>
            <w:vAlign w:val="center"/>
          </w:tcPr>
          <w:p w14:paraId="0A7E1AF1" w14:textId="566972EC" w:rsidR="0095690D" w:rsidRPr="00540DF9" w:rsidRDefault="0095690D" w:rsidP="0000011B">
            <w:pPr>
              <w:numPr>
                <w:ilvl w:val="0"/>
                <w:numId w:val="44"/>
              </w:numPr>
              <w:ind w:left="494" w:hanging="360"/>
              <w:rPr>
                <w:rFonts w:cs="Arial"/>
                <w:b/>
                <w:color w:val="000000"/>
                <w:lang w:val="es-CO"/>
              </w:rPr>
            </w:pPr>
            <w:r w:rsidRPr="00540DF9">
              <w:rPr>
                <w:rFonts w:cs="Arial"/>
                <w:b/>
                <w:color w:val="000000"/>
                <w:lang w:val="es-CO"/>
              </w:rPr>
              <w:t>ANTECEDENTES Y RAZONES DE OPORTUNIDAD Y CONVENIENCIA QUE JUSTIFICAN SU EXPEDICIÓN</w:t>
            </w:r>
          </w:p>
          <w:p w14:paraId="22DC44FA" w14:textId="77777777" w:rsidR="00AF3769" w:rsidRPr="00540DF9" w:rsidRDefault="00AF3769" w:rsidP="00AF3769">
            <w:pPr>
              <w:autoSpaceDE w:val="0"/>
              <w:autoSpaceDN w:val="0"/>
              <w:adjustRightInd w:val="0"/>
              <w:rPr>
                <w:rFonts w:cs="Arial"/>
                <w:iCs/>
                <w:lang w:val="es-CO" w:eastAsia="es-CO"/>
              </w:rPr>
            </w:pPr>
          </w:p>
          <w:p w14:paraId="774EF1D9" w14:textId="7F0AC2E6" w:rsidR="00A61AA7" w:rsidRPr="00540DF9" w:rsidRDefault="00A61AA7" w:rsidP="00A61AA7">
            <w:pPr>
              <w:autoSpaceDE w:val="0"/>
              <w:autoSpaceDN w:val="0"/>
              <w:adjustRightInd w:val="0"/>
              <w:jc w:val="both"/>
              <w:rPr>
                <w:rFonts w:cs="Arial"/>
                <w:iCs/>
                <w:lang w:val="es-CO" w:eastAsia="es-CO"/>
              </w:rPr>
            </w:pPr>
            <w:r w:rsidRPr="00540DF9">
              <w:rPr>
                <w:rFonts w:cs="Arial"/>
                <w:iCs/>
                <w:lang w:val="es-CO" w:eastAsia="es-CO"/>
              </w:rPr>
              <w:t xml:space="preserve">Los artículos 209 y 269 de la Constitución </w:t>
            </w:r>
            <w:r w:rsidR="00092AAC">
              <w:rPr>
                <w:rFonts w:cs="Arial"/>
                <w:iCs/>
                <w:lang w:val="es-CO" w:eastAsia="es-CO"/>
              </w:rPr>
              <w:t>p</w:t>
            </w:r>
            <w:r w:rsidRPr="00540DF9">
              <w:rPr>
                <w:rFonts w:cs="Arial"/>
                <w:iCs/>
                <w:lang w:val="es-CO" w:eastAsia="es-CO"/>
              </w:rPr>
              <w:t xml:space="preserve">olítica determinan la obligatoriedad de las entidades </w:t>
            </w:r>
            <w:r w:rsidR="00092AAC">
              <w:rPr>
                <w:rFonts w:cs="Arial"/>
                <w:iCs/>
                <w:lang w:val="es-CO" w:eastAsia="es-CO"/>
              </w:rPr>
              <w:t>p</w:t>
            </w:r>
            <w:r w:rsidRPr="00540DF9">
              <w:rPr>
                <w:rFonts w:cs="Arial"/>
                <w:iCs/>
                <w:lang w:val="es-CO" w:eastAsia="es-CO"/>
              </w:rPr>
              <w:t>úblicas de diseñar y aplicar métodos y procedimientos de control interno.</w:t>
            </w:r>
          </w:p>
          <w:p w14:paraId="2AA11987" w14:textId="77777777" w:rsidR="00A61AA7" w:rsidRPr="00540DF9" w:rsidRDefault="00A61AA7" w:rsidP="00A61AA7">
            <w:pPr>
              <w:autoSpaceDE w:val="0"/>
              <w:autoSpaceDN w:val="0"/>
              <w:adjustRightInd w:val="0"/>
              <w:jc w:val="both"/>
              <w:rPr>
                <w:rFonts w:cs="Arial"/>
                <w:iCs/>
                <w:lang w:val="es-CO" w:eastAsia="es-CO"/>
              </w:rPr>
            </w:pPr>
          </w:p>
          <w:p w14:paraId="015D2816" w14:textId="6816C0CB" w:rsidR="00A61AA7" w:rsidRPr="00540DF9" w:rsidRDefault="00A61AA7" w:rsidP="00A61AA7">
            <w:pPr>
              <w:autoSpaceDE w:val="0"/>
              <w:autoSpaceDN w:val="0"/>
              <w:adjustRightInd w:val="0"/>
              <w:jc w:val="both"/>
              <w:rPr>
                <w:rFonts w:cs="Arial"/>
                <w:iCs/>
                <w:lang w:val="es-CO" w:eastAsia="es-CO"/>
              </w:rPr>
            </w:pPr>
            <w:r w:rsidRPr="00540DF9">
              <w:rPr>
                <w:rFonts w:cs="Arial"/>
                <w:iCs/>
                <w:lang w:val="es-CO" w:eastAsia="es-CO"/>
              </w:rPr>
              <w:t xml:space="preserve">El artículo 354 de la Constitución </w:t>
            </w:r>
            <w:r w:rsidR="00092AAC">
              <w:rPr>
                <w:rFonts w:cs="Arial"/>
                <w:iCs/>
                <w:lang w:val="es-CO" w:eastAsia="es-CO"/>
              </w:rPr>
              <w:t>p</w:t>
            </w:r>
            <w:r w:rsidRPr="00540DF9">
              <w:rPr>
                <w:rFonts w:cs="Arial"/>
                <w:iCs/>
                <w:lang w:val="es-CO" w:eastAsia="es-CO"/>
              </w:rPr>
              <w:t xml:space="preserve">olítica le asigna al </w:t>
            </w:r>
            <w:r w:rsidR="00092AAC">
              <w:rPr>
                <w:rFonts w:cs="Arial"/>
                <w:iCs/>
                <w:lang w:val="es-CO" w:eastAsia="es-CO"/>
              </w:rPr>
              <w:t>c</w:t>
            </w:r>
            <w:r w:rsidRPr="00540DF9">
              <w:rPr>
                <w:rFonts w:cs="Arial"/>
                <w:iCs/>
                <w:lang w:val="es-CO" w:eastAsia="es-CO"/>
              </w:rPr>
              <w:t xml:space="preserve">ontador </w:t>
            </w:r>
            <w:r w:rsidR="00092AAC">
              <w:rPr>
                <w:rFonts w:cs="Arial"/>
                <w:iCs/>
                <w:lang w:val="es-CO" w:eastAsia="es-CO"/>
              </w:rPr>
              <w:t>g</w:t>
            </w:r>
            <w:r w:rsidRPr="00540DF9">
              <w:rPr>
                <w:rFonts w:cs="Arial"/>
                <w:iCs/>
                <w:lang w:val="es-CO" w:eastAsia="es-CO"/>
              </w:rPr>
              <w:t xml:space="preserve">eneral la función de llevar la </w:t>
            </w:r>
            <w:r w:rsidR="00092AAC">
              <w:rPr>
                <w:rFonts w:cs="Arial"/>
                <w:iCs/>
                <w:lang w:val="es-CO" w:eastAsia="es-CO"/>
              </w:rPr>
              <w:t>c</w:t>
            </w:r>
            <w:r w:rsidRPr="00540DF9">
              <w:rPr>
                <w:rFonts w:cs="Arial"/>
                <w:iCs/>
                <w:lang w:val="es-CO" w:eastAsia="es-CO"/>
              </w:rPr>
              <w:t xml:space="preserve">ontabilidad </w:t>
            </w:r>
            <w:r w:rsidR="00092AAC">
              <w:rPr>
                <w:rFonts w:cs="Arial"/>
                <w:iCs/>
                <w:lang w:val="es-CO" w:eastAsia="es-CO"/>
              </w:rPr>
              <w:t>g</w:t>
            </w:r>
            <w:r w:rsidRPr="00540DF9">
              <w:rPr>
                <w:rFonts w:cs="Arial"/>
                <w:iCs/>
                <w:lang w:val="es-CO" w:eastAsia="es-CO"/>
              </w:rPr>
              <w:t xml:space="preserve">eneral de la </w:t>
            </w:r>
            <w:r w:rsidR="00092AAC">
              <w:rPr>
                <w:rFonts w:cs="Arial"/>
                <w:iCs/>
                <w:lang w:val="es-CO" w:eastAsia="es-CO"/>
              </w:rPr>
              <w:t>n</w:t>
            </w:r>
            <w:r w:rsidRPr="00540DF9">
              <w:rPr>
                <w:rFonts w:cs="Arial"/>
                <w:iCs/>
                <w:lang w:val="es-CO" w:eastAsia="es-CO"/>
              </w:rPr>
              <w:t xml:space="preserve">ación y consolidarla con la de sus entidades descentralizadas territorialmente o por servicios, así como determinar las normas contables que deben regir en el país, conforme a la </w:t>
            </w:r>
            <w:r w:rsidR="00092AAC">
              <w:rPr>
                <w:rFonts w:cs="Arial"/>
                <w:iCs/>
                <w:lang w:val="es-CO" w:eastAsia="es-CO"/>
              </w:rPr>
              <w:t>l</w:t>
            </w:r>
            <w:r w:rsidRPr="00540DF9">
              <w:rPr>
                <w:rFonts w:cs="Arial"/>
                <w:iCs/>
                <w:lang w:val="es-CO" w:eastAsia="es-CO"/>
              </w:rPr>
              <w:t>ey.</w:t>
            </w:r>
          </w:p>
          <w:p w14:paraId="6DD797E0" w14:textId="77777777" w:rsidR="00A61AA7" w:rsidRPr="00540DF9" w:rsidRDefault="00A61AA7" w:rsidP="00A61AA7">
            <w:pPr>
              <w:autoSpaceDE w:val="0"/>
              <w:autoSpaceDN w:val="0"/>
              <w:adjustRightInd w:val="0"/>
              <w:jc w:val="both"/>
              <w:rPr>
                <w:rFonts w:cs="Arial"/>
                <w:iCs/>
                <w:lang w:val="es-CO" w:eastAsia="es-CO"/>
              </w:rPr>
            </w:pPr>
          </w:p>
          <w:p w14:paraId="02EA5BF3" w14:textId="77777777" w:rsidR="00A61AA7" w:rsidRPr="00540DF9" w:rsidRDefault="00A61AA7" w:rsidP="00A61AA7">
            <w:pPr>
              <w:autoSpaceDE w:val="0"/>
              <w:autoSpaceDN w:val="0"/>
              <w:adjustRightInd w:val="0"/>
              <w:jc w:val="both"/>
              <w:rPr>
                <w:rFonts w:cs="Arial"/>
                <w:iCs/>
                <w:lang w:val="es-CO" w:eastAsia="es-CO"/>
              </w:rPr>
            </w:pPr>
            <w:r w:rsidRPr="00540DF9">
              <w:rPr>
                <w:rFonts w:cs="Arial"/>
                <w:iCs/>
                <w:lang w:val="es-CO" w:eastAsia="es-CO"/>
              </w:rPr>
              <w:t>El artículo 1 de la Ley 87 de 1993 define el control interno como el sistema integrado por el esquema de organización y el conjunto de los planes, métodos, principios, normas, procedimientos y mecanismos de verificación y 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dirección y en atención a las metas u objetivos previstos.</w:t>
            </w:r>
          </w:p>
          <w:p w14:paraId="73D623C2" w14:textId="77777777" w:rsidR="00A61AA7" w:rsidRPr="00540DF9" w:rsidRDefault="00A61AA7" w:rsidP="00A61AA7">
            <w:pPr>
              <w:autoSpaceDE w:val="0"/>
              <w:autoSpaceDN w:val="0"/>
              <w:adjustRightInd w:val="0"/>
              <w:jc w:val="both"/>
              <w:rPr>
                <w:rFonts w:cs="Arial"/>
                <w:iCs/>
                <w:lang w:val="es-CO" w:eastAsia="es-CO"/>
              </w:rPr>
            </w:pPr>
          </w:p>
          <w:p w14:paraId="7926C94E" w14:textId="77777777" w:rsidR="00A61AA7" w:rsidRPr="00540DF9" w:rsidRDefault="00A61AA7" w:rsidP="00A61AA7">
            <w:pPr>
              <w:autoSpaceDE w:val="0"/>
              <w:autoSpaceDN w:val="0"/>
              <w:adjustRightInd w:val="0"/>
              <w:jc w:val="both"/>
              <w:rPr>
                <w:rFonts w:cs="Arial"/>
                <w:iCs/>
                <w:lang w:val="es-CO" w:eastAsia="es-CO"/>
              </w:rPr>
            </w:pPr>
            <w:r w:rsidRPr="00540DF9">
              <w:rPr>
                <w:rFonts w:cs="Arial"/>
                <w:iCs/>
                <w:lang w:val="es-CO" w:eastAsia="es-CO"/>
              </w:rPr>
              <w:t>La Ley 87 de 1993 en su artículo 30 establece que el Sistema de Control Interno forma parte integrante de los sistemas contables, financieros, de planeación, de información y operacionales de la respectiva entidad.</w:t>
            </w:r>
          </w:p>
          <w:p w14:paraId="6005A19B" w14:textId="77777777" w:rsidR="00A61AA7" w:rsidRPr="00540DF9" w:rsidRDefault="00A61AA7" w:rsidP="00A61AA7">
            <w:pPr>
              <w:autoSpaceDE w:val="0"/>
              <w:autoSpaceDN w:val="0"/>
              <w:adjustRightInd w:val="0"/>
              <w:jc w:val="both"/>
              <w:rPr>
                <w:rFonts w:cs="Arial"/>
                <w:iCs/>
                <w:lang w:val="es-CO" w:eastAsia="es-CO"/>
              </w:rPr>
            </w:pPr>
          </w:p>
          <w:p w14:paraId="5315A348" w14:textId="7F339B89" w:rsidR="004F54F4" w:rsidRPr="00540DF9" w:rsidRDefault="00A61AA7" w:rsidP="00564C3A">
            <w:pPr>
              <w:autoSpaceDE w:val="0"/>
              <w:autoSpaceDN w:val="0"/>
              <w:adjustRightInd w:val="0"/>
              <w:jc w:val="both"/>
              <w:rPr>
                <w:rFonts w:cs="Arial"/>
                <w:iCs/>
                <w:lang w:val="es-CO" w:eastAsia="es-CO"/>
              </w:rPr>
            </w:pPr>
            <w:r w:rsidRPr="00540DF9">
              <w:rPr>
                <w:rFonts w:cs="Arial"/>
                <w:iCs/>
                <w:lang w:val="es-CO" w:eastAsia="es-CO"/>
              </w:rPr>
              <w:t xml:space="preserve">La Contaduría General de la </w:t>
            </w:r>
            <w:r w:rsidR="008803CA" w:rsidRPr="00540DF9">
              <w:rPr>
                <w:rFonts w:cs="Arial"/>
                <w:iCs/>
                <w:lang w:val="es-CO" w:eastAsia="es-CO"/>
              </w:rPr>
              <w:t>Nación</w:t>
            </w:r>
            <w:r w:rsidRPr="00540DF9">
              <w:rPr>
                <w:rFonts w:cs="Arial"/>
                <w:iCs/>
                <w:lang w:val="es-CO" w:eastAsia="es-CO"/>
              </w:rPr>
              <w:t xml:space="preserve"> </w:t>
            </w:r>
            <w:r w:rsidR="00C57009" w:rsidRPr="00540DF9">
              <w:rPr>
                <w:rFonts w:cs="Arial"/>
                <w:iCs/>
                <w:lang w:val="es-CO" w:eastAsia="es-CO"/>
              </w:rPr>
              <w:t xml:space="preserve">(CGN) </w:t>
            </w:r>
            <w:r w:rsidRPr="00540DF9">
              <w:rPr>
                <w:rFonts w:cs="Arial"/>
                <w:iCs/>
                <w:lang w:val="es-CO" w:eastAsia="es-CO"/>
              </w:rPr>
              <w:t>expidió la Resolución 533 de 2015</w:t>
            </w:r>
            <w:r w:rsidR="00564C3A" w:rsidRPr="00540DF9">
              <w:rPr>
                <w:rFonts w:cs="Arial"/>
              </w:rPr>
              <w:t xml:space="preserve"> </w:t>
            </w:r>
            <w:r w:rsidR="00092AAC" w:rsidRPr="00092AAC">
              <w:rPr>
                <w:rFonts w:cs="Arial"/>
                <w:iCs/>
                <w:lang w:val="es-CO" w:eastAsia="es-CO"/>
              </w:rPr>
              <w:t>«</w:t>
            </w:r>
            <w:r w:rsidR="00564C3A" w:rsidRPr="00092AAC">
              <w:rPr>
                <w:rFonts w:cs="Arial"/>
                <w:iCs/>
                <w:lang w:val="es-CO" w:eastAsia="es-CO"/>
              </w:rPr>
              <w:t>Por la cual se incorpora, en el Régimen de Contabilidad Pública, el marco normativo aplicable a entidades de gobierno y se dictan otras disposiciones</w:t>
            </w:r>
            <w:r w:rsidR="00092AAC" w:rsidRPr="00092AAC">
              <w:rPr>
                <w:rFonts w:cs="Arial"/>
                <w:iCs/>
                <w:lang w:val="es-CO" w:eastAsia="es-CO"/>
              </w:rPr>
              <w:t>»</w:t>
            </w:r>
            <w:r w:rsidRPr="00540DF9">
              <w:rPr>
                <w:rFonts w:cs="Arial"/>
                <w:iCs/>
                <w:lang w:val="es-CO" w:eastAsia="es-CO"/>
              </w:rPr>
              <w:t xml:space="preserve"> y sus modificaciones, </w:t>
            </w:r>
            <w:r w:rsidR="00564C3A" w:rsidRPr="00540DF9">
              <w:rPr>
                <w:rFonts w:cs="Arial"/>
                <w:iCs/>
                <w:lang w:val="es-CO" w:eastAsia="es-CO"/>
              </w:rPr>
              <w:t xml:space="preserve">el cual </w:t>
            </w:r>
            <w:r w:rsidR="00564C3A" w:rsidRPr="00540DF9">
              <w:rPr>
                <w:rFonts w:cs="Arial"/>
              </w:rPr>
              <w:t>está conformado por el marco conceptual para la preparación y presentación de información financiera; las normas para el reconocimiento, medición, revelación y presentación de los hechos económicos; los procedimientos contables; las guías de aplicación; el catálogo general de cuentas y la doctrina contable pública</w:t>
            </w:r>
            <w:r w:rsidR="004F54F4" w:rsidRPr="00540DF9">
              <w:rPr>
                <w:rFonts w:cs="Arial"/>
              </w:rPr>
              <w:t>.</w:t>
            </w:r>
          </w:p>
          <w:p w14:paraId="0025D12F" w14:textId="77777777" w:rsidR="00A61AA7" w:rsidRPr="00540DF9" w:rsidRDefault="00A61AA7" w:rsidP="00A61AA7">
            <w:pPr>
              <w:autoSpaceDE w:val="0"/>
              <w:autoSpaceDN w:val="0"/>
              <w:adjustRightInd w:val="0"/>
              <w:jc w:val="both"/>
              <w:rPr>
                <w:rFonts w:cs="Arial"/>
                <w:iCs/>
                <w:lang w:val="es-CO" w:eastAsia="es-CO"/>
              </w:rPr>
            </w:pPr>
          </w:p>
          <w:p w14:paraId="45D6AB40" w14:textId="3CBEAB47" w:rsidR="00A61AA7" w:rsidRPr="00540DF9" w:rsidRDefault="00E94AE9" w:rsidP="00A61AA7">
            <w:pPr>
              <w:autoSpaceDE w:val="0"/>
              <w:autoSpaceDN w:val="0"/>
              <w:adjustRightInd w:val="0"/>
              <w:jc w:val="both"/>
              <w:rPr>
                <w:rFonts w:cs="Arial"/>
                <w:iCs/>
                <w:lang w:val="es-CO" w:eastAsia="es-CO"/>
              </w:rPr>
            </w:pPr>
            <w:r w:rsidRPr="00540DF9">
              <w:rPr>
                <w:rFonts w:cs="Arial"/>
                <w:iCs/>
                <w:lang w:val="es-CO" w:eastAsia="es-CO"/>
              </w:rPr>
              <w:t>L</w:t>
            </w:r>
            <w:r w:rsidR="00564C3A" w:rsidRPr="00540DF9">
              <w:rPr>
                <w:rFonts w:cs="Arial"/>
                <w:iCs/>
                <w:lang w:val="es-CO" w:eastAsia="es-CO"/>
              </w:rPr>
              <w:t xml:space="preserve">a </w:t>
            </w:r>
            <w:r w:rsidR="00A61AA7" w:rsidRPr="00540DF9">
              <w:rPr>
                <w:rFonts w:cs="Arial"/>
                <w:iCs/>
                <w:lang w:val="es-CO" w:eastAsia="es-CO"/>
              </w:rPr>
              <w:t xml:space="preserve">Resolución 193 del 5 de mayo de 2016 </w:t>
            </w:r>
            <w:r w:rsidR="00564C3A" w:rsidRPr="00540DF9">
              <w:rPr>
                <w:rFonts w:cs="Arial"/>
                <w:iCs/>
                <w:lang w:val="es-CO" w:eastAsia="es-CO"/>
              </w:rPr>
              <w:t xml:space="preserve">expedida por la </w:t>
            </w:r>
            <w:r w:rsidR="00FC6CD6" w:rsidRPr="00540DF9">
              <w:rPr>
                <w:rFonts w:cs="Arial"/>
                <w:iCs/>
                <w:lang w:val="es-CO" w:eastAsia="es-CO"/>
              </w:rPr>
              <w:t xml:space="preserve">CGN </w:t>
            </w:r>
            <w:r w:rsidRPr="00540DF9">
              <w:rPr>
                <w:rFonts w:cs="Arial"/>
                <w:iCs/>
                <w:lang w:val="es-CO" w:eastAsia="es-CO"/>
              </w:rPr>
              <w:t xml:space="preserve"> </w:t>
            </w:r>
            <w:r w:rsidR="00092AAC" w:rsidRPr="00092AAC">
              <w:rPr>
                <w:rFonts w:cs="Arial"/>
                <w:iCs/>
                <w:lang w:val="es-CO" w:eastAsia="es-CO"/>
              </w:rPr>
              <w:t>«</w:t>
            </w:r>
            <w:r w:rsidR="00564C3A" w:rsidRPr="00092AAC">
              <w:rPr>
                <w:rFonts w:cs="Arial"/>
                <w:iCs/>
                <w:lang w:val="es-CO" w:eastAsia="es-CO"/>
              </w:rPr>
              <w:t xml:space="preserve">Por </w:t>
            </w:r>
            <w:r w:rsidR="00A61AA7" w:rsidRPr="00092AAC">
              <w:rPr>
                <w:rFonts w:cs="Arial"/>
                <w:iCs/>
                <w:lang w:val="es-CO" w:eastAsia="es-CO"/>
              </w:rPr>
              <w:t>la cual se incorpora, en los Procedimientos Transversales del Régimen de Contabilidad Pública, el Procedimiento para la evaluación del control interno contable</w:t>
            </w:r>
            <w:r w:rsidR="00092AAC" w:rsidRPr="00092AAC">
              <w:rPr>
                <w:rFonts w:cs="Arial"/>
                <w:iCs/>
                <w:lang w:val="es-CO" w:eastAsia="es-CO"/>
              </w:rPr>
              <w:t>»</w:t>
            </w:r>
            <w:r w:rsidRPr="00092AAC">
              <w:rPr>
                <w:rFonts w:cs="Arial"/>
                <w:iCs/>
                <w:lang w:val="es-CO" w:eastAsia="es-CO"/>
              </w:rPr>
              <w:t>,</w:t>
            </w:r>
            <w:r w:rsidRPr="00540DF9">
              <w:rPr>
                <w:rFonts w:cs="Arial"/>
                <w:iCs/>
                <w:lang w:val="es-CO" w:eastAsia="es-CO"/>
              </w:rPr>
              <w:t xml:space="preserve"> </w:t>
            </w:r>
            <w:r w:rsidR="00CB219D" w:rsidRPr="00540DF9">
              <w:rPr>
                <w:rFonts w:cs="Arial"/>
                <w:iCs/>
                <w:lang w:val="es-CO" w:eastAsia="es-CO"/>
              </w:rPr>
              <w:t xml:space="preserve">en cuanto a </w:t>
            </w:r>
            <w:r w:rsidRPr="00540DF9">
              <w:rPr>
                <w:rFonts w:cs="Arial"/>
                <w:iCs/>
                <w:lang w:val="es-CO" w:eastAsia="es-CO"/>
              </w:rPr>
              <w:t xml:space="preserve">la gestión del riesgo contable establecida en el </w:t>
            </w:r>
            <w:r w:rsidR="00A61AA7" w:rsidRPr="00540DF9">
              <w:rPr>
                <w:rFonts w:cs="Arial"/>
                <w:iCs/>
                <w:lang w:val="es-CO" w:eastAsia="es-CO"/>
              </w:rPr>
              <w:t>sub numeral 3.2.2 del numeral 3 de</w:t>
            </w:r>
            <w:r w:rsidRPr="00540DF9">
              <w:rPr>
                <w:rFonts w:cs="Arial"/>
                <w:iCs/>
                <w:lang w:val="es-CO" w:eastAsia="es-CO"/>
              </w:rPr>
              <w:t xml:space="preserve"> su</w:t>
            </w:r>
            <w:r w:rsidR="00A61AA7" w:rsidRPr="00540DF9">
              <w:rPr>
                <w:rFonts w:cs="Arial"/>
                <w:iCs/>
                <w:lang w:val="es-CO" w:eastAsia="es-CO"/>
              </w:rPr>
              <w:t xml:space="preserve"> anexo, señala que las entidades </w:t>
            </w:r>
            <w:r w:rsidR="00092AAC" w:rsidRPr="00092AAC">
              <w:rPr>
                <w:rFonts w:cs="Arial"/>
                <w:iCs/>
                <w:lang w:val="es-CO" w:eastAsia="es-CO"/>
              </w:rPr>
              <w:t>«</w:t>
            </w:r>
            <w:r w:rsidR="00A61AA7" w:rsidRPr="00092AAC">
              <w:rPr>
                <w:rFonts w:cs="Arial"/>
                <w:iCs/>
                <w:lang w:val="es-CO" w:eastAsia="es-CO"/>
              </w:rPr>
              <w:t>deberán contar con herramientas tendientes a la mejora continua y de sostenibilidad de la información financiera de manera que se genere información con las características fundamentales de relevancia y representación fiel. Estas herramientas pueden ser de diversa índole, como la creación del Comité Técnico de Sostenibilidad Contable o la implementación de herramientas sustentadas en políticas, procedimientos, directrices, instructivos, lineamientos o reglas de negocio que propendan por garantizar de manera permanente la depuración y mejora de la calidad de la información financiera</w:t>
            </w:r>
            <w:r w:rsidR="00092AAC" w:rsidRPr="00092AAC">
              <w:rPr>
                <w:rFonts w:cs="Arial"/>
                <w:iCs/>
                <w:lang w:val="es-CO" w:eastAsia="es-CO"/>
              </w:rPr>
              <w:t>»</w:t>
            </w:r>
            <w:r w:rsidR="00A61AA7" w:rsidRPr="00092AAC">
              <w:rPr>
                <w:rFonts w:cs="Arial"/>
                <w:iCs/>
                <w:lang w:val="es-CO" w:eastAsia="es-CO"/>
              </w:rPr>
              <w:t xml:space="preserve">.  </w:t>
            </w:r>
            <w:r w:rsidR="00CB219D" w:rsidRPr="00092AAC">
              <w:rPr>
                <w:rFonts w:cs="Arial"/>
                <w:iCs/>
                <w:lang w:val="es-CO" w:eastAsia="es-CO"/>
              </w:rPr>
              <w:t>Esto</w:t>
            </w:r>
            <w:r w:rsidR="00A61AA7" w:rsidRPr="00092AAC">
              <w:rPr>
                <w:rFonts w:cs="Arial"/>
                <w:iCs/>
                <w:lang w:val="es-CO" w:eastAsia="es-CO"/>
              </w:rPr>
              <w:t>, sin perjuicio de las responsabilidades y autonomía que caracterizan el ejercicio profesional del contador público de la</w:t>
            </w:r>
            <w:r w:rsidR="00A61AA7" w:rsidRPr="00540DF9">
              <w:rPr>
                <w:rFonts w:cs="Arial"/>
                <w:iCs/>
                <w:lang w:val="es-CO" w:eastAsia="es-CO"/>
              </w:rPr>
              <w:t xml:space="preserve"> entidad y del jefe de la Oficina de Control Interno.</w:t>
            </w:r>
          </w:p>
          <w:p w14:paraId="5774926A" w14:textId="77777777" w:rsidR="004F54F4" w:rsidRPr="00540DF9" w:rsidRDefault="004F54F4" w:rsidP="004F54F4">
            <w:pPr>
              <w:autoSpaceDE w:val="0"/>
              <w:autoSpaceDN w:val="0"/>
              <w:adjustRightInd w:val="0"/>
              <w:jc w:val="both"/>
              <w:rPr>
                <w:rFonts w:cs="Arial"/>
                <w:iCs/>
                <w:lang w:val="es-CO" w:eastAsia="es-CO"/>
              </w:rPr>
            </w:pPr>
          </w:p>
          <w:p w14:paraId="2E21BE68" w14:textId="410B91C9" w:rsidR="00245FAE" w:rsidRPr="00092AAC" w:rsidRDefault="00FC6CD6" w:rsidP="00245FAE">
            <w:pPr>
              <w:autoSpaceDE w:val="0"/>
              <w:autoSpaceDN w:val="0"/>
              <w:adjustRightInd w:val="0"/>
              <w:jc w:val="both"/>
              <w:rPr>
                <w:rFonts w:cs="Arial"/>
                <w:iCs/>
                <w:lang w:val="es-CO" w:eastAsia="es-CO"/>
              </w:rPr>
            </w:pPr>
            <w:r w:rsidRPr="00540DF9">
              <w:rPr>
                <w:rFonts w:cs="Arial"/>
                <w:iCs/>
                <w:lang w:val="es-CO" w:eastAsia="es-CO"/>
              </w:rPr>
              <w:t xml:space="preserve">La CGN expidió </w:t>
            </w:r>
            <w:r w:rsidR="00245FAE" w:rsidRPr="00540DF9">
              <w:rPr>
                <w:rFonts w:cs="Arial"/>
                <w:iCs/>
                <w:lang w:val="es-CO" w:eastAsia="es-CO"/>
              </w:rPr>
              <w:t>la</w:t>
            </w:r>
            <w:r w:rsidR="00245FAE" w:rsidRPr="00540DF9">
              <w:rPr>
                <w:rFonts w:cs="Arial"/>
              </w:rPr>
              <w:t xml:space="preserve"> </w:t>
            </w:r>
            <w:r w:rsidR="00245FAE" w:rsidRPr="00540DF9">
              <w:rPr>
                <w:rFonts w:cs="Arial"/>
                <w:iCs/>
                <w:lang w:val="es-CO" w:eastAsia="es-CO"/>
              </w:rPr>
              <w:t>Resolución 116 de 2017</w:t>
            </w:r>
            <w:r w:rsidRPr="00540DF9">
              <w:rPr>
                <w:rFonts w:cs="Arial"/>
                <w:iCs/>
                <w:lang w:val="es-CO" w:eastAsia="es-CO"/>
              </w:rPr>
              <w:t xml:space="preserve"> </w:t>
            </w:r>
            <w:r w:rsidR="00092AAC" w:rsidRPr="00092AAC">
              <w:rPr>
                <w:rFonts w:cs="Arial"/>
                <w:iCs/>
                <w:lang w:val="es-CO" w:eastAsia="es-CO"/>
              </w:rPr>
              <w:t>«</w:t>
            </w:r>
            <w:r w:rsidRPr="00092AAC">
              <w:rPr>
                <w:rFonts w:cs="Arial"/>
                <w:iCs/>
                <w:lang w:val="es-CO" w:eastAsia="es-CO"/>
              </w:rPr>
              <w:t xml:space="preserve">Por la cual se incorpora, al Marco Normativo para Entidades de Gobierno, el procedimiento Contable para el registro de los procesos judiciales, arbitrajes, conciliaciones extrajudiciales y embargo sobre cuentas bancarias, y se modifica el Catálogo General de Cuentas de dicho Marco </w:t>
            </w:r>
            <w:proofErr w:type="spellStart"/>
            <w:r w:rsidRPr="00092AAC">
              <w:rPr>
                <w:rFonts w:cs="Arial"/>
                <w:iCs/>
                <w:lang w:val="es-CO" w:eastAsia="es-CO"/>
              </w:rPr>
              <w:t>Normativ</w:t>
            </w:r>
            <w:proofErr w:type="spellEnd"/>
            <w:r w:rsidR="00092AAC" w:rsidRPr="00092AAC">
              <w:rPr>
                <w:rFonts w:cs="Arial"/>
                <w:iCs/>
                <w:lang w:val="es-CO" w:eastAsia="es-CO"/>
              </w:rPr>
              <w:t>»</w:t>
            </w:r>
            <w:r w:rsidR="00245FAE" w:rsidRPr="00092AAC">
              <w:rPr>
                <w:rFonts w:cs="Arial"/>
                <w:iCs/>
                <w:lang w:val="es-CO" w:eastAsia="es-CO"/>
              </w:rPr>
              <w:t>.</w:t>
            </w:r>
          </w:p>
          <w:p w14:paraId="5F9263B6" w14:textId="77777777" w:rsidR="00245FAE" w:rsidRPr="00540DF9" w:rsidRDefault="00245FAE" w:rsidP="00245FAE">
            <w:pPr>
              <w:autoSpaceDE w:val="0"/>
              <w:autoSpaceDN w:val="0"/>
              <w:adjustRightInd w:val="0"/>
              <w:jc w:val="both"/>
              <w:rPr>
                <w:rFonts w:cs="Arial"/>
                <w:iCs/>
                <w:lang w:val="es-CO" w:eastAsia="es-CO"/>
              </w:rPr>
            </w:pPr>
          </w:p>
          <w:p w14:paraId="161D73D4" w14:textId="0C5185DE" w:rsidR="00A61AA7" w:rsidRPr="00540DF9" w:rsidRDefault="00BA3EE6" w:rsidP="00A61AA7">
            <w:pPr>
              <w:autoSpaceDE w:val="0"/>
              <w:autoSpaceDN w:val="0"/>
              <w:adjustRightInd w:val="0"/>
              <w:jc w:val="both"/>
              <w:rPr>
                <w:rFonts w:cs="Arial"/>
                <w:iCs/>
                <w:lang w:val="es-CO" w:eastAsia="es-CO"/>
              </w:rPr>
            </w:pPr>
            <w:r w:rsidRPr="00540DF9">
              <w:rPr>
                <w:rFonts w:cs="Arial"/>
                <w:iCs/>
                <w:lang w:val="es-CO" w:eastAsia="es-CO"/>
              </w:rPr>
              <w:t>E</w:t>
            </w:r>
            <w:r w:rsidR="001042AB" w:rsidRPr="00540DF9">
              <w:rPr>
                <w:rFonts w:cs="Arial"/>
                <w:iCs/>
                <w:lang w:val="es-CO" w:eastAsia="es-CO"/>
              </w:rPr>
              <w:t>n aplicación de e</w:t>
            </w:r>
            <w:r w:rsidRPr="00540DF9">
              <w:rPr>
                <w:rFonts w:cs="Arial"/>
                <w:iCs/>
                <w:lang w:val="es-CO" w:eastAsia="es-CO"/>
              </w:rPr>
              <w:t xml:space="preserve">ste marco normativo </w:t>
            </w:r>
            <w:r w:rsidR="00C02F0E" w:rsidRPr="00540DF9">
              <w:rPr>
                <w:rFonts w:cs="Arial"/>
                <w:iCs/>
                <w:lang w:val="es-CO" w:eastAsia="es-CO"/>
              </w:rPr>
              <w:t xml:space="preserve">de </w:t>
            </w:r>
            <w:r w:rsidRPr="00540DF9">
              <w:rPr>
                <w:rFonts w:cs="Arial"/>
                <w:iCs/>
                <w:lang w:val="es-CO" w:eastAsia="es-CO"/>
              </w:rPr>
              <w:t>las entidades de gobierno que se encuentran bajo el ámbito del Régimen de Contabilidad Pública, el Departamento Administrativo para la Prosperidad Social</w:t>
            </w:r>
            <w:r w:rsidR="00A56875" w:rsidRPr="00540DF9">
              <w:rPr>
                <w:rFonts w:cs="Arial"/>
                <w:iCs/>
                <w:lang w:val="es-CO" w:eastAsia="es-CO"/>
              </w:rPr>
              <w:t>, m</w:t>
            </w:r>
            <w:r w:rsidR="00A61AA7" w:rsidRPr="00540DF9">
              <w:rPr>
                <w:rFonts w:cs="Arial"/>
                <w:iCs/>
                <w:lang w:val="es-CO" w:eastAsia="es-CO"/>
              </w:rPr>
              <w:t xml:space="preserve">ediante Resolución 03907 del 29 de diciembre de 2017, adoptó el documento de Políticas Contables bajo el </w:t>
            </w:r>
            <w:r w:rsidR="00092AAC">
              <w:rPr>
                <w:rFonts w:cs="Arial"/>
                <w:iCs/>
                <w:lang w:val="es-CO" w:eastAsia="es-CO"/>
              </w:rPr>
              <w:t>n</w:t>
            </w:r>
            <w:r w:rsidR="00A61AA7" w:rsidRPr="00540DF9">
              <w:rPr>
                <w:rFonts w:cs="Arial"/>
                <w:iCs/>
                <w:lang w:val="es-CO" w:eastAsia="es-CO"/>
              </w:rPr>
              <w:t xml:space="preserve">uevo </w:t>
            </w:r>
            <w:r w:rsidR="00092AAC">
              <w:rPr>
                <w:rFonts w:cs="Arial"/>
                <w:iCs/>
                <w:lang w:val="es-CO" w:eastAsia="es-CO"/>
              </w:rPr>
              <w:t>m</w:t>
            </w:r>
            <w:r w:rsidR="00A61AA7" w:rsidRPr="00540DF9">
              <w:rPr>
                <w:rFonts w:cs="Arial"/>
                <w:iCs/>
                <w:lang w:val="es-CO" w:eastAsia="es-CO"/>
              </w:rPr>
              <w:t xml:space="preserve">arco </w:t>
            </w:r>
            <w:r w:rsidR="00092AAC">
              <w:rPr>
                <w:rFonts w:cs="Arial"/>
                <w:iCs/>
                <w:lang w:val="es-CO" w:eastAsia="es-CO"/>
              </w:rPr>
              <w:t>n</w:t>
            </w:r>
            <w:r w:rsidR="00A61AA7" w:rsidRPr="00540DF9">
              <w:rPr>
                <w:rFonts w:cs="Arial"/>
                <w:iCs/>
                <w:lang w:val="es-CO" w:eastAsia="es-CO"/>
              </w:rPr>
              <w:t xml:space="preserve">ormativo de </w:t>
            </w:r>
            <w:r w:rsidR="00092AAC">
              <w:rPr>
                <w:rFonts w:cs="Arial"/>
                <w:iCs/>
                <w:lang w:val="es-CO" w:eastAsia="es-CO"/>
              </w:rPr>
              <w:t>c</w:t>
            </w:r>
            <w:r w:rsidR="00A61AA7" w:rsidRPr="00540DF9">
              <w:rPr>
                <w:rFonts w:cs="Arial"/>
                <w:iCs/>
                <w:lang w:val="es-CO" w:eastAsia="es-CO"/>
              </w:rPr>
              <w:t>ontabilidad</w:t>
            </w:r>
            <w:r w:rsidR="008803CA">
              <w:rPr>
                <w:rFonts w:cs="Arial"/>
                <w:iCs/>
                <w:lang w:val="es-CO" w:eastAsia="es-CO"/>
              </w:rPr>
              <w:t xml:space="preserve"> p</w:t>
            </w:r>
            <w:r w:rsidR="00A61AA7" w:rsidRPr="00540DF9">
              <w:rPr>
                <w:rFonts w:cs="Arial"/>
                <w:iCs/>
                <w:lang w:val="es-CO" w:eastAsia="es-CO"/>
              </w:rPr>
              <w:t xml:space="preserve">ública como </w:t>
            </w:r>
            <w:r w:rsidR="00092AAC">
              <w:rPr>
                <w:rFonts w:cs="Arial"/>
                <w:iCs/>
                <w:lang w:val="es-CO" w:eastAsia="es-CO"/>
              </w:rPr>
              <w:t>e</w:t>
            </w:r>
            <w:r w:rsidR="00A61AA7" w:rsidRPr="00540DF9">
              <w:rPr>
                <w:rFonts w:cs="Arial"/>
                <w:iCs/>
                <w:lang w:val="es-CO" w:eastAsia="es-CO"/>
              </w:rPr>
              <w:t>ntidad de Gobierno.</w:t>
            </w:r>
          </w:p>
          <w:p w14:paraId="0198FA6F" w14:textId="03F15D92" w:rsidR="006C7FC2" w:rsidRPr="00540DF9" w:rsidRDefault="006C7FC2" w:rsidP="00A61AA7">
            <w:pPr>
              <w:autoSpaceDE w:val="0"/>
              <w:autoSpaceDN w:val="0"/>
              <w:adjustRightInd w:val="0"/>
              <w:jc w:val="both"/>
              <w:rPr>
                <w:rFonts w:cs="Arial"/>
                <w:iCs/>
                <w:lang w:val="es-CO" w:eastAsia="es-CO"/>
              </w:rPr>
            </w:pPr>
          </w:p>
          <w:p w14:paraId="7A66AC46" w14:textId="46D2B094" w:rsidR="00D90C6D" w:rsidRPr="00092AAC" w:rsidRDefault="000C48BE" w:rsidP="00D22709">
            <w:pPr>
              <w:autoSpaceDE w:val="0"/>
              <w:autoSpaceDN w:val="0"/>
              <w:adjustRightInd w:val="0"/>
              <w:jc w:val="both"/>
              <w:rPr>
                <w:rFonts w:cs="Arial"/>
                <w:iCs/>
                <w:lang w:val="es-CO" w:eastAsia="es-CO"/>
              </w:rPr>
            </w:pPr>
            <w:r w:rsidRPr="00540DF9">
              <w:rPr>
                <w:rFonts w:cs="Arial"/>
                <w:iCs/>
                <w:lang w:val="es-CO" w:eastAsia="es-CO"/>
              </w:rPr>
              <w:t>El Departamento Administrativo para la Prosperidad Social</w:t>
            </w:r>
            <w:r w:rsidR="00AD5B38" w:rsidRPr="00540DF9">
              <w:rPr>
                <w:rFonts w:cs="Arial"/>
                <w:iCs/>
                <w:lang w:val="es-CO" w:eastAsia="es-CO"/>
              </w:rPr>
              <w:t>,</w:t>
            </w:r>
            <w:r w:rsidR="00F06920" w:rsidRPr="00540DF9">
              <w:rPr>
                <w:rFonts w:cs="Arial"/>
                <w:iCs/>
                <w:lang w:val="es-CO" w:eastAsia="es-CO"/>
              </w:rPr>
              <w:t xml:space="preserve"> </w:t>
            </w:r>
            <w:r w:rsidR="00D9524E" w:rsidRPr="00540DF9">
              <w:rPr>
                <w:rFonts w:cs="Arial"/>
                <w:iCs/>
                <w:lang w:val="es-CO" w:eastAsia="es-CO"/>
              </w:rPr>
              <w:t>propendiendo por</w:t>
            </w:r>
            <w:r w:rsidR="00F06920" w:rsidRPr="00540DF9">
              <w:rPr>
                <w:rFonts w:cs="Arial"/>
                <w:iCs/>
                <w:lang w:val="es-CO" w:eastAsia="es-CO"/>
              </w:rPr>
              <w:t xml:space="preserve"> el reconocimiento contable de los procesos judiciales y administrativos, arbitramentos y conciliaciones extrajudiciales, así como los embargos de cuentas bancarias de la Entidad que hayan sido comunicados a esta Oficina por las diferentes dependencias</w:t>
            </w:r>
            <w:r w:rsidR="00D9524E" w:rsidRPr="00540DF9">
              <w:rPr>
                <w:rFonts w:cs="Arial"/>
                <w:iCs/>
                <w:lang w:val="es-CO" w:eastAsia="es-CO"/>
              </w:rPr>
              <w:t xml:space="preserve">, </w:t>
            </w:r>
            <w:r w:rsidR="00D90C6D" w:rsidRPr="00540DF9">
              <w:rPr>
                <w:rFonts w:cs="Arial"/>
                <w:iCs/>
                <w:lang w:val="es-CO" w:eastAsia="es-CO"/>
              </w:rPr>
              <w:t xml:space="preserve">profirió </w:t>
            </w:r>
            <w:r w:rsidR="00D22709" w:rsidRPr="00540DF9">
              <w:rPr>
                <w:rFonts w:cs="Arial"/>
                <w:iCs/>
                <w:lang w:val="es-CO" w:eastAsia="es-CO"/>
              </w:rPr>
              <w:t xml:space="preserve">la </w:t>
            </w:r>
            <w:r w:rsidR="00092AAC">
              <w:rPr>
                <w:rFonts w:cs="Arial"/>
                <w:i/>
                <w:lang w:val="es-CO" w:eastAsia="es-CO"/>
              </w:rPr>
              <w:t>«</w:t>
            </w:r>
            <w:r w:rsidR="00D22709" w:rsidRPr="00092AAC">
              <w:rPr>
                <w:rFonts w:cs="Arial"/>
                <w:iCs/>
                <w:lang w:val="es-CO" w:eastAsia="es-CO"/>
              </w:rPr>
              <w:t>GUÍA PARA EL</w:t>
            </w:r>
            <w:r w:rsidR="00D22709" w:rsidRPr="00540DF9">
              <w:rPr>
                <w:rFonts w:cs="Arial"/>
                <w:i/>
                <w:lang w:val="es-CO" w:eastAsia="es-CO"/>
              </w:rPr>
              <w:t xml:space="preserve"> </w:t>
            </w:r>
            <w:r w:rsidR="00D22709" w:rsidRPr="00092AAC">
              <w:rPr>
                <w:rFonts w:cs="Arial"/>
                <w:iCs/>
                <w:lang w:val="es-CO" w:eastAsia="es-CO"/>
              </w:rPr>
              <w:lastRenderedPageBreak/>
              <w:t>CÁLCULO DE PROVISIONES Y RECONOCIMIENTO CONTABLE DE LOS PROCESOS JUDICIALES, ARBITRAMENTOS Y CONCILIACIONES EXTRAJUDICIALES EN LOS QUE LA ENTIDAD ES PARTE Y EMBARGOS DE CUENTAS BANCARIAS DE PROSPERIDAD SOCIAL</w:t>
            </w:r>
            <w:r w:rsidR="00092AAC" w:rsidRPr="00092AAC">
              <w:rPr>
                <w:rFonts w:cs="Arial"/>
                <w:iCs/>
                <w:lang w:val="es-CO" w:eastAsia="es-CO"/>
              </w:rPr>
              <w:t>»</w:t>
            </w:r>
            <w:r w:rsidR="00D9524E" w:rsidRPr="00092AAC">
              <w:rPr>
                <w:rFonts w:cs="Arial"/>
                <w:iCs/>
                <w:lang w:val="es-CO" w:eastAsia="es-CO"/>
              </w:rPr>
              <w:t>.</w:t>
            </w:r>
          </w:p>
          <w:p w14:paraId="661E4A7C" w14:textId="331C64BE" w:rsidR="00D9524E" w:rsidRPr="00092AAC" w:rsidRDefault="00D9524E" w:rsidP="00D22709">
            <w:pPr>
              <w:autoSpaceDE w:val="0"/>
              <w:autoSpaceDN w:val="0"/>
              <w:adjustRightInd w:val="0"/>
              <w:jc w:val="both"/>
              <w:rPr>
                <w:rFonts w:cs="Arial"/>
                <w:iCs/>
                <w:lang w:val="es-CO" w:eastAsia="es-CO"/>
              </w:rPr>
            </w:pPr>
          </w:p>
          <w:p w14:paraId="6351A3DD" w14:textId="72EA2591" w:rsidR="00D9524E" w:rsidRPr="00540DF9" w:rsidRDefault="00960C60" w:rsidP="00FB4658">
            <w:pPr>
              <w:autoSpaceDE w:val="0"/>
              <w:autoSpaceDN w:val="0"/>
              <w:adjustRightInd w:val="0"/>
              <w:jc w:val="both"/>
              <w:rPr>
                <w:rFonts w:cs="Arial"/>
                <w:i/>
                <w:lang w:val="es-CO" w:eastAsia="es-CO"/>
              </w:rPr>
            </w:pPr>
            <w:r w:rsidRPr="00540DF9">
              <w:rPr>
                <w:rFonts w:cs="Arial"/>
                <w:iCs/>
                <w:lang w:val="es-CO" w:eastAsia="es-CO"/>
              </w:rPr>
              <w:t xml:space="preserve">Esta </w:t>
            </w:r>
            <w:r w:rsidR="00092AAC">
              <w:rPr>
                <w:rFonts w:cs="Arial"/>
                <w:iCs/>
                <w:lang w:val="es-CO" w:eastAsia="es-CO"/>
              </w:rPr>
              <w:t>g</w:t>
            </w:r>
            <w:r w:rsidRPr="00540DF9">
              <w:rPr>
                <w:rFonts w:cs="Arial"/>
                <w:iCs/>
                <w:lang w:val="es-CO" w:eastAsia="es-CO"/>
              </w:rPr>
              <w:t xml:space="preserve">uía fue </w:t>
            </w:r>
            <w:r w:rsidR="003E5F94" w:rsidRPr="00540DF9">
              <w:rPr>
                <w:rFonts w:cs="Arial"/>
                <w:iCs/>
                <w:lang w:val="es-CO" w:eastAsia="es-CO"/>
              </w:rPr>
              <w:t>adoptada</w:t>
            </w:r>
            <w:r w:rsidRPr="00540DF9">
              <w:rPr>
                <w:rFonts w:cs="Arial"/>
                <w:iCs/>
                <w:lang w:val="es-CO" w:eastAsia="es-CO"/>
              </w:rPr>
              <w:t xml:space="preserve"> mediante la Resolución </w:t>
            </w:r>
            <w:r w:rsidR="00EA4C90" w:rsidRPr="00540DF9">
              <w:rPr>
                <w:rFonts w:cs="Arial"/>
                <w:iCs/>
                <w:lang w:val="es-CO" w:eastAsia="es-CO"/>
              </w:rPr>
              <w:t xml:space="preserve">2279 </w:t>
            </w:r>
            <w:r w:rsidR="003E5F94" w:rsidRPr="00540DF9">
              <w:rPr>
                <w:rFonts w:cs="Arial"/>
                <w:iCs/>
                <w:lang w:val="es-CO" w:eastAsia="es-CO"/>
              </w:rPr>
              <w:t>del 25 de septiembre de 2018</w:t>
            </w:r>
            <w:r w:rsidR="00A54918">
              <w:rPr>
                <w:rFonts w:cs="Arial"/>
                <w:iCs/>
                <w:lang w:val="es-CO" w:eastAsia="es-CO"/>
              </w:rPr>
              <w:t xml:space="preserve"> </w:t>
            </w:r>
            <w:r w:rsidR="00A54918" w:rsidRPr="00A54918">
              <w:rPr>
                <w:rFonts w:cs="Arial"/>
                <w:iCs/>
                <w:lang w:val="es-CO" w:eastAsia="es-CO"/>
              </w:rPr>
              <w:t>«</w:t>
            </w:r>
            <w:r w:rsidR="00FB4658" w:rsidRPr="00A54918">
              <w:rPr>
                <w:rFonts w:cs="Arial"/>
                <w:iCs/>
                <w:lang w:val="es-CO" w:eastAsia="es-CO"/>
              </w:rPr>
              <w:t>Por medio de la cual se adopta la guía para el cálculo de provisiones y reconocimiento contable de los</w:t>
            </w:r>
            <w:r w:rsidR="00E432AC" w:rsidRPr="00A54918">
              <w:rPr>
                <w:rFonts w:cs="Arial"/>
                <w:iCs/>
                <w:lang w:val="es-CO" w:eastAsia="es-CO"/>
              </w:rPr>
              <w:t xml:space="preserve"> </w:t>
            </w:r>
            <w:r w:rsidR="00FB4658" w:rsidRPr="00A54918">
              <w:rPr>
                <w:rFonts w:cs="Arial"/>
                <w:iCs/>
                <w:lang w:val="es-CO" w:eastAsia="es-CO"/>
              </w:rPr>
              <w:t>procesos judiciales, arbitramentos y conciliaciones extrajudiciales en los que la entidad es parte y</w:t>
            </w:r>
            <w:r w:rsidR="00E432AC" w:rsidRPr="00A54918">
              <w:rPr>
                <w:rFonts w:cs="Arial"/>
                <w:iCs/>
                <w:lang w:val="es-CO" w:eastAsia="es-CO"/>
              </w:rPr>
              <w:t xml:space="preserve"> </w:t>
            </w:r>
            <w:r w:rsidR="00FB4658" w:rsidRPr="00A54918">
              <w:rPr>
                <w:rFonts w:cs="Arial"/>
                <w:iCs/>
                <w:lang w:val="es-CO" w:eastAsia="es-CO"/>
              </w:rPr>
              <w:t>embargos de cuentas bancarias en Prosperidad Social</w:t>
            </w:r>
            <w:r w:rsidR="00A54918" w:rsidRPr="00A54918">
              <w:rPr>
                <w:rFonts w:cs="Arial"/>
                <w:iCs/>
                <w:lang w:val="es-CO" w:eastAsia="es-CO"/>
              </w:rPr>
              <w:t>»</w:t>
            </w:r>
          </w:p>
          <w:p w14:paraId="5CE4426D" w14:textId="2E55D322" w:rsidR="00A61AA7" w:rsidRPr="00540DF9" w:rsidRDefault="00A87E6A" w:rsidP="00501215">
            <w:pPr>
              <w:autoSpaceDE w:val="0"/>
              <w:autoSpaceDN w:val="0"/>
              <w:adjustRightInd w:val="0"/>
              <w:jc w:val="both"/>
              <w:rPr>
                <w:rFonts w:cs="Arial"/>
                <w:iCs/>
                <w:lang w:val="es-CO" w:eastAsia="es-CO"/>
              </w:rPr>
            </w:pPr>
            <w:r w:rsidRPr="00540DF9">
              <w:rPr>
                <w:rFonts w:cs="Arial"/>
                <w:iCs/>
                <w:lang w:val="es-CO" w:eastAsia="es-CO"/>
              </w:rPr>
              <w:t xml:space="preserve"> </w:t>
            </w:r>
            <w:r w:rsidR="000A4667" w:rsidRPr="00540DF9">
              <w:rPr>
                <w:rFonts w:cs="Arial"/>
                <w:iCs/>
                <w:lang w:val="es-CO" w:eastAsia="es-CO"/>
              </w:rPr>
              <w:t xml:space="preserve"> </w:t>
            </w:r>
          </w:p>
          <w:p w14:paraId="7A38FA46" w14:textId="6E68AD5D" w:rsidR="00EF4E56" w:rsidRPr="00540DF9" w:rsidRDefault="001A008B" w:rsidP="00EF4E56">
            <w:pPr>
              <w:autoSpaceDE w:val="0"/>
              <w:autoSpaceDN w:val="0"/>
              <w:adjustRightInd w:val="0"/>
              <w:jc w:val="both"/>
              <w:rPr>
                <w:rFonts w:cs="Arial"/>
                <w:iCs/>
                <w:lang w:val="es-CO" w:eastAsia="es-CO"/>
              </w:rPr>
            </w:pPr>
            <w:r w:rsidRPr="00540DF9">
              <w:rPr>
                <w:rFonts w:cs="Arial"/>
                <w:iCs/>
                <w:lang w:val="es-CO" w:eastAsia="es-CO"/>
              </w:rPr>
              <w:t>E</w:t>
            </w:r>
            <w:r w:rsidR="005F3F41" w:rsidRPr="00540DF9">
              <w:rPr>
                <w:rFonts w:cs="Arial"/>
                <w:iCs/>
                <w:lang w:val="es-CO" w:eastAsia="es-CO"/>
              </w:rPr>
              <w:t xml:space="preserve">l </w:t>
            </w:r>
            <w:r w:rsidR="00A54918">
              <w:rPr>
                <w:rFonts w:cs="Arial"/>
                <w:iCs/>
                <w:lang w:val="es-CO" w:eastAsia="es-CO"/>
              </w:rPr>
              <w:t>c</w:t>
            </w:r>
            <w:r w:rsidR="005F3F41" w:rsidRPr="00540DF9">
              <w:rPr>
                <w:rFonts w:cs="Arial"/>
                <w:iCs/>
                <w:lang w:val="es-CO" w:eastAsia="es-CO"/>
              </w:rPr>
              <w:t xml:space="preserve">ontador </w:t>
            </w:r>
            <w:r w:rsidR="00A54918">
              <w:rPr>
                <w:rFonts w:cs="Arial"/>
                <w:iCs/>
                <w:lang w:val="es-CO" w:eastAsia="es-CO"/>
              </w:rPr>
              <w:t>g</w:t>
            </w:r>
            <w:r w:rsidR="005F3F41" w:rsidRPr="00540DF9">
              <w:rPr>
                <w:rFonts w:cs="Arial"/>
                <w:iCs/>
                <w:lang w:val="es-CO" w:eastAsia="es-CO"/>
              </w:rPr>
              <w:t xml:space="preserve">eneral de la Nación expidió la Resolución 080 de 2021 </w:t>
            </w:r>
            <w:r w:rsidR="00A54918" w:rsidRPr="00A54918">
              <w:rPr>
                <w:rFonts w:cs="Arial"/>
                <w:iCs/>
                <w:lang w:val="es-CO" w:eastAsia="es-CO"/>
              </w:rPr>
              <w:t>«</w:t>
            </w:r>
            <w:r w:rsidR="005F3F41" w:rsidRPr="00A54918">
              <w:rPr>
                <w:rFonts w:cs="Arial"/>
                <w:iCs/>
                <w:lang w:val="es-CO" w:eastAsia="es-CO"/>
              </w:rPr>
              <w:t>Por la cual se modifica el Procedimiento contable para el registro de los procesos judiciales, arbitrajes, conciliaciones extrajudiciales y embargos sobre cuentas bancarias, del Marco Normativo para Entidades de Gobierno</w:t>
            </w:r>
            <w:r w:rsidR="00A54918">
              <w:rPr>
                <w:rFonts w:cs="Arial"/>
                <w:iCs/>
                <w:lang w:val="es-CO" w:eastAsia="es-CO"/>
              </w:rPr>
              <w:t>»</w:t>
            </w:r>
            <w:r w:rsidR="00834B6B" w:rsidRPr="00540DF9">
              <w:rPr>
                <w:rFonts w:cs="Arial"/>
                <w:iCs/>
                <w:lang w:val="es-CO" w:eastAsia="es-CO"/>
              </w:rPr>
              <w:t>, p</w:t>
            </w:r>
            <w:r w:rsidR="00EF4E56" w:rsidRPr="00540DF9">
              <w:rPr>
                <w:rFonts w:cs="Arial"/>
                <w:iCs/>
                <w:lang w:val="es-CO" w:eastAsia="es-CO"/>
              </w:rPr>
              <w:t xml:space="preserve">roducto de las mejoras que conllevan los procesos de regulación, originadas en 1) la expedición de regulación de carácter general que originó nuevos hechos económicos relacionados con el pago de sentencias y conciliaciones debidamente ejecutoriadas y sus intereses que se encuentren en mora, de las entidades del </w:t>
            </w:r>
            <w:r w:rsidR="00A54918">
              <w:rPr>
                <w:rFonts w:cs="Arial"/>
                <w:iCs/>
                <w:lang w:val="es-CO" w:eastAsia="es-CO"/>
              </w:rPr>
              <w:t>p</w:t>
            </w:r>
            <w:r w:rsidR="00EF4E56" w:rsidRPr="00540DF9">
              <w:rPr>
                <w:rFonts w:cs="Arial"/>
                <w:iCs/>
                <w:lang w:val="es-CO" w:eastAsia="es-CO"/>
              </w:rPr>
              <w:t xml:space="preserve">resupuesto </w:t>
            </w:r>
            <w:r w:rsidR="00A54918">
              <w:rPr>
                <w:rFonts w:cs="Arial"/>
                <w:iCs/>
                <w:lang w:val="es-CO" w:eastAsia="es-CO"/>
              </w:rPr>
              <w:t>g</w:t>
            </w:r>
            <w:r w:rsidR="00EF4E56" w:rsidRPr="00540DF9">
              <w:rPr>
                <w:rFonts w:cs="Arial"/>
                <w:iCs/>
                <w:lang w:val="es-CO" w:eastAsia="es-CO"/>
              </w:rPr>
              <w:t xml:space="preserve">eneral de la </w:t>
            </w:r>
            <w:r w:rsidR="00A54918">
              <w:rPr>
                <w:rFonts w:cs="Arial"/>
                <w:iCs/>
                <w:lang w:val="es-CO" w:eastAsia="es-CO"/>
              </w:rPr>
              <w:t>n</w:t>
            </w:r>
            <w:r w:rsidR="00EF4E56" w:rsidRPr="00540DF9">
              <w:rPr>
                <w:rFonts w:cs="Arial"/>
                <w:iCs/>
                <w:lang w:val="es-CO" w:eastAsia="es-CO"/>
              </w:rPr>
              <w:t xml:space="preserve">ación, así como con la realización de aportes al fondo de contingencias; 2) la retroalimentación de las entidades públicas; y 3) la revisión interna de la CGN, que condujo a incorporar hechos económicos que no se habían regulado contablemente y a precisar algunos términos, se modificó el </w:t>
            </w:r>
            <w:r w:rsidR="00A54918">
              <w:rPr>
                <w:rFonts w:cs="Arial"/>
                <w:iCs/>
                <w:lang w:val="es-CO" w:eastAsia="es-CO"/>
              </w:rPr>
              <w:t>p</w:t>
            </w:r>
            <w:r w:rsidR="00EF4E56" w:rsidRPr="00540DF9">
              <w:rPr>
                <w:rFonts w:cs="Arial"/>
                <w:iCs/>
                <w:lang w:val="es-CO" w:eastAsia="es-CO"/>
              </w:rPr>
              <w:t xml:space="preserve">rocedimiento contable para el registro de los procesos judiciales, arbitrajes, conciliaciones extrajudiciales y embargos sobre cuentas bancarias, del </w:t>
            </w:r>
            <w:r w:rsidR="00A54918">
              <w:rPr>
                <w:rFonts w:cs="Arial"/>
                <w:iCs/>
                <w:lang w:val="es-CO" w:eastAsia="es-CO"/>
              </w:rPr>
              <w:t>m</w:t>
            </w:r>
            <w:r w:rsidR="00EF4E56" w:rsidRPr="00540DF9">
              <w:rPr>
                <w:rFonts w:cs="Arial"/>
                <w:iCs/>
                <w:lang w:val="es-CO" w:eastAsia="es-CO"/>
              </w:rPr>
              <w:t xml:space="preserve">arco </w:t>
            </w:r>
            <w:r w:rsidR="00A54918">
              <w:rPr>
                <w:rFonts w:cs="Arial"/>
                <w:iCs/>
                <w:lang w:val="es-CO" w:eastAsia="es-CO"/>
              </w:rPr>
              <w:t>n</w:t>
            </w:r>
            <w:r w:rsidR="00EF4E56" w:rsidRPr="00540DF9">
              <w:rPr>
                <w:rFonts w:cs="Arial"/>
                <w:iCs/>
                <w:lang w:val="es-CO" w:eastAsia="es-CO"/>
              </w:rPr>
              <w:t xml:space="preserve">ormativo para </w:t>
            </w:r>
            <w:r w:rsidR="00A54918">
              <w:rPr>
                <w:rFonts w:cs="Arial"/>
                <w:iCs/>
                <w:lang w:val="es-CO" w:eastAsia="es-CO"/>
              </w:rPr>
              <w:t>e</w:t>
            </w:r>
            <w:r w:rsidR="00EF4E56" w:rsidRPr="00540DF9">
              <w:rPr>
                <w:rFonts w:cs="Arial"/>
                <w:iCs/>
                <w:lang w:val="es-CO" w:eastAsia="es-CO"/>
              </w:rPr>
              <w:t>ntidades de Gobierno.</w:t>
            </w:r>
          </w:p>
          <w:p w14:paraId="76E6430B" w14:textId="77777777" w:rsidR="00EF4E56" w:rsidRPr="00540DF9" w:rsidRDefault="00EF4E56" w:rsidP="00EF4E56">
            <w:pPr>
              <w:autoSpaceDE w:val="0"/>
              <w:autoSpaceDN w:val="0"/>
              <w:adjustRightInd w:val="0"/>
              <w:jc w:val="both"/>
              <w:rPr>
                <w:rFonts w:cs="Arial"/>
                <w:iCs/>
                <w:lang w:val="es-CO" w:eastAsia="es-CO"/>
              </w:rPr>
            </w:pPr>
          </w:p>
          <w:p w14:paraId="47BFAA14" w14:textId="36A7A16F" w:rsidR="00DE236F" w:rsidRPr="00540DF9" w:rsidRDefault="00EF4E56" w:rsidP="00125C4A">
            <w:pPr>
              <w:autoSpaceDE w:val="0"/>
              <w:autoSpaceDN w:val="0"/>
              <w:adjustRightInd w:val="0"/>
              <w:jc w:val="both"/>
              <w:rPr>
                <w:rFonts w:eastAsia="Calibri" w:cs="Arial"/>
                <w:iCs/>
                <w:lang w:val="es-CO" w:eastAsia="en-US"/>
              </w:rPr>
            </w:pPr>
            <w:r w:rsidRPr="00540DF9">
              <w:rPr>
                <w:rFonts w:cs="Arial"/>
                <w:iCs/>
                <w:lang w:val="es-CO" w:eastAsia="es-CO"/>
              </w:rPr>
              <w:t>Por lo anterior,</w:t>
            </w:r>
            <w:r w:rsidR="00125C4A" w:rsidRPr="00540DF9">
              <w:rPr>
                <w:rFonts w:cs="Arial"/>
                <w:iCs/>
                <w:lang w:val="es-CO" w:eastAsia="es-CO"/>
              </w:rPr>
              <w:t xml:space="preserve"> </w:t>
            </w:r>
            <w:r w:rsidR="00086656" w:rsidRPr="00540DF9">
              <w:rPr>
                <w:rFonts w:cs="Arial"/>
                <w:iCs/>
                <w:lang w:val="es-CO" w:eastAsia="es-CO"/>
              </w:rPr>
              <w:t xml:space="preserve">es necesario actualizar el proceso </w:t>
            </w:r>
            <w:r w:rsidR="005707FF" w:rsidRPr="00540DF9">
              <w:rPr>
                <w:rFonts w:cs="Arial"/>
                <w:iCs/>
                <w:lang w:val="es-CO" w:eastAsia="es-CO"/>
              </w:rPr>
              <w:t xml:space="preserve">interno </w:t>
            </w:r>
            <w:r w:rsidR="00DE236F" w:rsidRPr="00540DF9">
              <w:rPr>
                <w:rFonts w:cs="Arial"/>
                <w:iCs/>
                <w:lang w:val="es-CO" w:eastAsia="es-CO"/>
              </w:rPr>
              <w:t xml:space="preserve">con las actuales directrices para identificar y calificar los riesgos de conformidad con las pretensiones determinadas en los procesos en los que </w:t>
            </w:r>
            <w:r w:rsidR="0008584C" w:rsidRPr="00540DF9">
              <w:rPr>
                <w:rFonts w:cs="Arial"/>
                <w:iCs/>
                <w:lang w:val="es-CO" w:eastAsia="es-CO"/>
              </w:rPr>
              <w:t>la entidad es parte</w:t>
            </w:r>
            <w:r w:rsidR="006C02A7">
              <w:rPr>
                <w:rFonts w:cs="Arial"/>
                <w:iCs/>
                <w:lang w:val="es-CO" w:eastAsia="es-CO"/>
              </w:rPr>
              <w:t>.</w:t>
            </w:r>
          </w:p>
        </w:tc>
      </w:tr>
      <w:tr w:rsidR="00DF60FD" w:rsidRPr="00540DF9" w14:paraId="102F2950" w14:textId="77777777" w:rsidTr="0075705D">
        <w:trPr>
          <w:trHeight w:val="47"/>
        </w:trPr>
        <w:tc>
          <w:tcPr>
            <w:tcW w:w="10774" w:type="dxa"/>
            <w:gridSpan w:val="3"/>
            <w:shd w:val="clear" w:color="auto" w:fill="FFFFFF"/>
            <w:vAlign w:val="center"/>
          </w:tcPr>
          <w:p w14:paraId="761B4B92" w14:textId="77777777" w:rsidR="00251FCE" w:rsidRPr="00540DF9" w:rsidRDefault="00251FCE" w:rsidP="0075705D">
            <w:pPr>
              <w:jc w:val="both"/>
              <w:rPr>
                <w:rFonts w:cs="Arial"/>
                <w:lang w:eastAsia="es-CO"/>
              </w:rPr>
            </w:pPr>
          </w:p>
        </w:tc>
      </w:tr>
      <w:tr w:rsidR="00DF60FD" w:rsidRPr="00540DF9" w14:paraId="69967B33"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C508C8B" w14:textId="77777777" w:rsidR="006C4A1D" w:rsidRPr="00540DF9" w:rsidRDefault="00DF60FD" w:rsidP="0000011B">
            <w:pPr>
              <w:numPr>
                <w:ilvl w:val="0"/>
                <w:numId w:val="44"/>
              </w:numPr>
              <w:ind w:left="494" w:hanging="360"/>
              <w:jc w:val="both"/>
              <w:rPr>
                <w:rFonts w:cs="Arial"/>
                <w:iCs/>
                <w:color w:val="808080"/>
              </w:rPr>
            </w:pPr>
            <w:r w:rsidRPr="00540DF9">
              <w:rPr>
                <w:rFonts w:cs="Arial"/>
                <w:b/>
                <w:color w:val="000000"/>
              </w:rPr>
              <w:t>AMBITO DE APLICACIÓN Y SUJETO</w:t>
            </w:r>
            <w:r w:rsidR="00795C6B" w:rsidRPr="00540DF9">
              <w:rPr>
                <w:rFonts w:cs="Arial"/>
                <w:b/>
                <w:color w:val="000000"/>
              </w:rPr>
              <w:t>S</w:t>
            </w:r>
            <w:r w:rsidRPr="00540DF9">
              <w:rPr>
                <w:rFonts w:cs="Arial"/>
                <w:b/>
                <w:color w:val="000000"/>
              </w:rPr>
              <w:t xml:space="preserve"> A QUIEN</w:t>
            </w:r>
            <w:r w:rsidR="00795C6B" w:rsidRPr="00540DF9">
              <w:rPr>
                <w:rFonts w:cs="Arial"/>
                <w:b/>
                <w:color w:val="000000"/>
              </w:rPr>
              <w:t>ES</w:t>
            </w:r>
            <w:r w:rsidRPr="00540DF9">
              <w:rPr>
                <w:rFonts w:cs="Arial"/>
                <w:b/>
                <w:color w:val="000000"/>
              </w:rPr>
              <w:t xml:space="preserve"> VA DIRIGIDO</w:t>
            </w:r>
          </w:p>
          <w:p w14:paraId="392CB053" w14:textId="77777777" w:rsidR="00795C6B" w:rsidRPr="00540DF9" w:rsidRDefault="00696582" w:rsidP="006C4A1D">
            <w:pPr>
              <w:ind w:left="494"/>
              <w:jc w:val="both"/>
              <w:rPr>
                <w:rFonts w:cs="Arial"/>
                <w:iCs/>
                <w:color w:val="808080"/>
              </w:rPr>
            </w:pPr>
            <w:r w:rsidRPr="00540DF9">
              <w:rPr>
                <w:rFonts w:cs="Arial"/>
                <w:iCs/>
                <w:color w:val="808080"/>
              </w:rPr>
              <w:t xml:space="preserve"> </w:t>
            </w:r>
          </w:p>
          <w:p w14:paraId="02753580" w14:textId="11A5ECB1" w:rsidR="006C4A1D" w:rsidRPr="00540DF9" w:rsidRDefault="006C4A1D" w:rsidP="001E5D7F">
            <w:pPr>
              <w:jc w:val="both"/>
              <w:rPr>
                <w:rFonts w:cs="Arial"/>
                <w:iCs/>
                <w:lang w:val="es-CO" w:eastAsia="es-CO"/>
              </w:rPr>
            </w:pPr>
            <w:r w:rsidRPr="00540DF9">
              <w:rPr>
                <w:rFonts w:cs="Arial"/>
                <w:iCs/>
                <w:lang w:val="es-CO" w:eastAsia="es-CO"/>
              </w:rPr>
              <w:t>Esta guía debe</w:t>
            </w:r>
            <w:r w:rsidR="00814478" w:rsidRPr="00540DF9">
              <w:rPr>
                <w:rFonts w:cs="Arial"/>
                <w:iCs/>
                <w:lang w:val="es-CO" w:eastAsia="es-CO"/>
              </w:rPr>
              <w:t xml:space="preserve"> </w:t>
            </w:r>
            <w:r w:rsidRPr="00540DF9">
              <w:rPr>
                <w:rFonts w:cs="Arial"/>
                <w:iCs/>
                <w:lang w:val="es-CO" w:eastAsia="es-CO"/>
              </w:rPr>
              <w:t>ser aplicada por cada uno de los apoderados judiciales -internos y externos- de la Oficina Asesora Jurídica de Prosperidad Social, para el adecuado y oportuno suministro de información litigiosa como complemento del proceso contable.</w:t>
            </w:r>
          </w:p>
          <w:p w14:paraId="65921EB4" w14:textId="77777777" w:rsidR="006C4A1D" w:rsidRPr="00540DF9" w:rsidRDefault="006C4A1D" w:rsidP="001E5D7F">
            <w:pPr>
              <w:jc w:val="both"/>
              <w:rPr>
                <w:rFonts w:cs="Arial"/>
                <w:iCs/>
                <w:lang w:val="es-CO" w:eastAsia="es-CO"/>
              </w:rPr>
            </w:pPr>
          </w:p>
          <w:p w14:paraId="31B0C9DE" w14:textId="3BE720A1" w:rsidR="00795C6B" w:rsidRPr="00540DF9" w:rsidRDefault="006C4A1D" w:rsidP="001E5D7F">
            <w:pPr>
              <w:jc w:val="both"/>
              <w:rPr>
                <w:rFonts w:cs="Arial"/>
                <w:iCs/>
                <w:lang w:val="es-CO" w:eastAsia="es-CO"/>
              </w:rPr>
            </w:pPr>
            <w:r w:rsidRPr="00540DF9">
              <w:rPr>
                <w:rFonts w:cs="Arial"/>
                <w:iCs/>
                <w:lang w:val="es-CO" w:eastAsia="es-CO"/>
              </w:rPr>
              <w:t>De igual manera, esta guía deberá ser aplicada por las diferentes dependencias obligadas al suministro de información a la Oficina Asesora Jurídica respecto de embargos de cuentas bancarias o bienes de Prosperidad Social e inicio de cobros coactivos contra la</w:t>
            </w:r>
            <w:r w:rsidR="00A54918">
              <w:rPr>
                <w:rFonts w:cs="Arial"/>
                <w:iCs/>
                <w:lang w:val="es-CO" w:eastAsia="es-CO"/>
              </w:rPr>
              <w:t xml:space="preserve"> e</w:t>
            </w:r>
            <w:r w:rsidRPr="00540DF9">
              <w:rPr>
                <w:rFonts w:cs="Arial"/>
                <w:iCs/>
                <w:lang w:val="es-CO" w:eastAsia="es-CO"/>
              </w:rPr>
              <w:t>ntidad.</w:t>
            </w:r>
          </w:p>
          <w:p w14:paraId="50DDD739" w14:textId="77777777" w:rsidR="00795C6B" w:rsidRPr="00540DF9" w:rsidRDefault="00795C6B" w:rsidP="0075705D">
            <w:pPr>
              <w:rPr>
                <w:rFonts w:cs="Arial"/>
                <w:iCs/>
                <w:color w:val="000000"/>
              </w:rPr>
            </w:pPr>
          </w:p>
        </w:tc>
      </w:tr>
      <w:tr w:rsidR="00DF60FD" w:rsidRPr="00540DF9" w14:paraId="088F0295" w14:textId="77777777" w:rsidTr="0075705D">
        <w:trPr>
          <w:trHeight w:val="278"/>
        </w:trPr>
        <w:tc>
          <w:tcPr>
            <w:tcW w:w="10774" w:type="dxa"/>
            <w:gridSpan w:val="3"/>
            <w:tcBorders>
              <w:bottom w:val="single" w:sz="4" w:space="0" w:color="auto"/>
            </w:tcBorders>
            <w:shd w:val="clear" w:color="auto" w:fill="FFFFFF"/>
            <w:vAlign w:val="center"/>
          </w:tcPr>
          <w:p w14:paraId="4D013708" w14:textId="77777777" w:rsidR="00DF60FD" w:rsidRPr="00540DF9" w:rsidRDefault="00795C6B" w:rsidP="0075705D">
            <w:pPr>
              <w:ind w:left="494" w:hanging="283"/>
              <w:rPr>
                <w:rFonts w:cs="Arial"/>
                <w:b/>
                <w:color w:val="000000"/>
              </w:rPr>
            </w:pPr>
            <w:r w:rsidRPr="00540DF9">
              <w:rPr>
                <w:rFonts w:cs="Arial"/>
                <w:b/>
                <w:color w:val="000000"/>
              </w:rPr>
              <w:t xml:space="preserve">3. </w:t>
            </w:r>
            <w:r w:rsidR="00DF60FD" w:rsidRPr="00540DF9">
              <w:rPr>
                <w:rFonts w:cs="Arial"/>
                <w:b/>
                <w:color w:val="000000"/>
              </w:rPr>
              <w:t>VIABILIDAD JURÍDICA</w:t>
            </w:r>
          </w:p>
          <w:p w14:paraId="1191AA05" w14:textId="511B7319" w:rsidR="00540DF9" w:rsidRDefault="00540DF9" w:rsidP="0047160F">
            <w:pPr>
              <w:rPr>
                <w:rFonts w:cs="Arial"/>
                <w:iCs/>
                <w:lang w:val="es-CO" w:eastAsia="es-CO"/>
              </w:rPr>
            </w:pPr>
          </w:p>
          <w:p w14:paraId="3567C957" w14:textId="204718AD" w:rsidR="000B2496" w:rsidRPr="000B2496" w:rsidRDefault="000B2496" w:rsidP="000B2496">
            <w:pPr>
              <w:rPr>
                <w:rFonts w:cs="Arial"/>
                <w:iCs/>
                <w:lang w:val="es-CO" w:eastAsia="es-CO"/>
              </w:rPr>
            </w:pPr>
            <w:r w:rsidRPr="000B2496">
              <w:rPr>
                <w:rFonts w:cs="Arial"/>
                <w:iCs/>
                <w:lang w:val="es-CO" w:eastAsia="es-CO"/>
              </w:rPr>
              <w:t>3.1 Análisis de las normas que otorgan la competencia para la expedición del proyecto normativo</w:t>
            </w:r>
            <w:r>
              <w:rPr>
                <w:rFonts w:cs="Arial"/>
                <w:iCs/>
                <w:lang w:val="es-CO" w:eastAsia="es-CO"/>
              </w:rPr>
              <w:t>.</w:t>
            </w:r>
          </w:p>
          <w:p w14:paraId="251B6A7D" w14:textId="77777777" w:rsidR="000B2496" w:rsidRDefault="000B2496" w:rsidP="0047160F">
            <w:pPr>
              <w:rPr>
                <w:rFonts w:cs="Arial"/>
                <w:iCs/>
                <w:lang w:val="es-CO" w:eastAsia="es-CO"/>
              </w:rPr>
            </w:pPr>
          </w:p>
          <w:p w14:paraId="0F14A78F" w14:textId="7E550A5A" w:rsidR="0047160F" w:rsidRPr="00540DF9" w:rsidRDefault="0047160F" w:rsidP="00FD5234">
            <w:pPr>
              <w:jc w:val="both"/>
              <w:rPr>
                <w:rFonts w:cs="Arial"/>
                <w:iCs/>
                <w:lang w:val="es-CO" w:eastAsia="es-CO"/>
              </w:rPr>
            </w:pPr>
            <w:r w:rsidRPr="00540DF9">
              <w:rPr>
                <w:rFonts w:cs="Arial"/>
                <w:iCs/>
                <w:lang w:val="es-CO" w:eastAsia="es-CO"/>
              </w:rPr>
              <w:t xml:space="preserve">La directora </w:t>
            </w:r>
            <w:r w:rsidR="00A54918">
              <w:rPr>
                <w:rFonts w:cs="Arial"/>
                <w:iCs/>
                <w:lang w:val="es-CO" w:eastAsia="es-CO"/>
              </w:rPr>
              <w:t>g</w:t>
            </w:r>
            <w:r w:rsidRPr="00540DF9">
              <w:rPr>
                <w:rFonts w:cs="Arial"/>
                <w:iCs/>
                <w:lang w:val="es-CO" w:eastAsia="es-CO"/>
              </w:rPr>
              <w:t xml:space="preserve">eneral del Departamento Administrativo para la Prosperidad Social </w:t>
            </w:r>
            <w:r w:rsidR="000562EE">
              <w:rPr>
                <w:rFonts w:cs="Arial"/>
                <w:iCs/>
                <w:lang w:val="es-CO" w:eastAsia="es-CO"/>
              </w:rPr>
              <w:t xml:space="preserve">es competente </w:t>
            </w:r>
            <w:r w:rsidR="00656C00" w:rsidRPr="00540DF9">
              <w:rPr>
                <w:rFonts w:cs="Arial"/>
                <w:iCs/>
                <w:lang w:val="es-CO" w:eastAsia="es-CO"/>
              </w:rPr>
              <w:t>para expedir esta resolución en virtud de lo dispuesto en el</w:t>
            </w:r>
            <w:r w:rsidRPr="00540DF9">
              <w:rPr>
                <w:rFonts w:cs="Arial"/>
                <w:iCs/>
                <w:lang w:val="es-CO" w:eastAsia="es-CO"/>
              </w:rPr>
              <w:t xml:space="preserve"> numeral 1 del artículo 10 del Decreto 2094 de 2016</w:t>
            </w:r>
            <w:r w:rsidR="00656C00" w:rsidRPr="00540DF9">
              <w:rPr>
                <w:rFonts w:cs="Arial"/>
                <w:iCs/>
                <w:lang w:val="es-CO" w:eastAsia="es-CO"/>
              </w:rPr>
              <w:t>.</w:t>
            </w:r>
          </w:p>
          <w:p w14:paraId="5837AB96" w14:textId="77777777" w:rsidR="000B2496" w:rsidRPr="00540DF9" w:rsidRDefault="000B2496" w:rsidP="0047160F">
            <w:pPr>
              <w:rPr>
                <w:rFonts w:cs="Arial"/>
                <w:iCs/>
                <w:lang w:val="es-CO" w:eastAsia="es-CO"/>
              </w:rPr>
            </w:pPr>
          </w:p>
          <w:p w14:paraId="47BBC2A4" w14:textId="5FC86EED" w:rsidR="00D97CB0" w:rsidRDefault="00D97CB0" w:rsidP="00556890">
            <w:pPr>
              <w:jc w:val="both"/>
              <w:rPr>
                <w:rFonts w:cs="Arial"/>
                <w:iCs/>
                <w:lang w:val="es-CO" w:eastAsia="es-CO"/>
              </w:rPr>
            </w:pPr>
            <w:r w:rsidRPr="00540DF9">
              <w:rPr>
                <w:rFonts w:cs="Arial"/>
                <w:iCs/>
                <w:lang w:val="es-CO" w:eastAsia="es-CO"/>
              </w:rPr>
              <w:t xml:space="preserve">Teniendo en cuenta que la Agencia Nacional de Defensa Jurídica del Estado mediante Resolución 353 del 1 de noviembre de 2016, adoptó una </w:t>
            </w:r>
            <w:r w:rsidR="00A54918" w:rsidRPr="00A54918">
              <w:rPr>
                <w:rFonts w:cs="Arial"/>
                <w:iCs/>
                <w:lang w:val="es-CO" w:eastAsia="es-CO"/>
              </w:rPr>
              <w:t>«</w:t>
            </w:r>
            <w:r w:rsidRPr="00A54918">
              <w:rPr>
                <w:rFonts w:cs="Arial"/>
                <w:iCs/>
                <w:lang w:val="es-CO" w:eastAsia="es-CO"/>
              </w:rPr>
              <w:t>metodología de reconocido valor técnico para el cálculo de la provisión contable de los procesos judiciales, conciliaciones extrajudiciales y trámites arbitrales en contra de la entidad</w:t>
            </w:r>
            <w:r w:rsidR="00A54918" w:rsidRPr="00A54918">
              <w:rPr>
                <w:rFonts w:cs="Arial"/>
                <w:iCs/>
                <w:lang w:val="es-CO" w:eastAsia="es-CO"/>
              </w:rPr>
              <w:t>»</w:t>
            </w:r>
            <w:r w:rsidRPr="00A54918">
              <w:rPr>
                <w:rFonts w:cs="Arial"/>
                <w:iCs/>
                <w:lang w:val="es-CO" w:eastAsia="es-CO"/>
              </w:rPr>
              <w:t>,</w:t>
            </w:r>
            <w:r w:rsidRPr="00540DF9">
              <w:rPr>
                <w:rFonts w:cs="Arial"/>
                <w:iCs/>
                <w:lang w:val="es-CO" w:eastAsia="es-CO"/>
              </w:rPr>
              <w:t xml:space="preserve"> así como la Resolución 116 del 6 de abril de 2017, emitida por la Contaduría General de la Nación, en la cual fue incorporado </w:t>
            </w:r>
            <w:r w:rsidRPr="00540DF9">
              <w:rPr>
                <w:rFonts w:cs="Arial"/>
                <w:i/>
                <w:lang w:val="es-CO" w:eastAsia="es-CO"/>
              </w:rPr>
              <w:t xml:space="preserve">al </w:t>
            </w:r>
            <w:r w:rsidR="00A54918" w:rsidRPr="00A54918">
              <w:rPr>
                <w:rFonts w:cs="Arial"/>
                <w:iCs/>
                <w:lang w:val="es-CO" w:eastAsia="es-CO"/>
              </w:rPr>
              <w:t>«</w:t>
            </w:r>
            <w:r w:rsidRPr="00A54918">
              <w:rPr>
                <w:rFonts w:cs="Arial"/>
                <w:iCs/>
                <w:lang w:val="es-CO" w:eastAsia="es-CO"/>
              </w:rPr>
              <w:t>Marco Normativo para Entidades de Gobierno, el Procedimiento contable para el registro de los procesos judiciales, arbitrajes, conciliaciones extrajudiciales y embargos sobre cuentas bancarias</w:t>
            </w:r>
            <w:r w:rsidR="00A54918" w:rsidRPr="00A54918">
              <w:rPr>
                <w:rFonts w:cs="Arial"/>
                <w:iCs/>
                <w:lang w:val="es-CO" w:eastAsia="es-CO"/>
              </w:rPr>
              <w:t>»</w:t>
            </w:r>
            <w:r w:rsidRPr="00A54918">
              <w:rPr>
                <w:rFonts w:cs="Arial"/>
                <w:iCs/>
                <w:lang w:val="es-CO" w:eastAsia="es-CO"/>
              </w:rPr>
              <w:t xml:space="preserve">, </w:t>
            </w:r>
            <w:r w:rsidR="00556890" w:rsidRPr="00A54918">
              <w:rPr>
                <w:rFonts w:cs="Arial"/>
                <w:iCs/>
                <w:lang w:val="es-CO" w:eastAsia="es-CO"/>
              </w:rPr>
              <w:t xml:space="preserve">y dada la reciente modificación que hizo la Contaduría General de la Nación </w:t>
            </w:r>
            <w:r w:rsidR="008A39D8" w:rsidRPr="00A54918">
              <w:rPr>
                <w:rFonts w:cs="Arial"/>
                <w:iCs/>
                <w:lang w:val="es-CO" w:eastAsia="es-CO"/>
              </w:rPr>
              <w:t xml:space="preserve">a través </w:t>
            </w:r>
            <w:r w:rsidR="00E51145" w:rsidRPr="00A54918">
              <w:rPr>
                <w:rFonts w:cs="Arial"/>
                <w:iCs/>
                <w:lang w:val="es-CO" w:eastAsia="es-CO"/>
              </w:rPr>
              <w:t xml:space="preserve">Resolución 080 de 2021 </w:t>
            </w:r>
            <w:r w:rsidR="00A54918" w:rsidRPr="00A54918">
              <w:rPr>
                <w:rFonts w:cs="Arial"/>
                <w:iCs/>
                <w:lang w:val="es-CO" w:eastAsia="es-CO"/>
              </w:rPr>
              <w:t>«</w:t>
            </w:r>
            <w:r w:rsidR="00E51145" w:rsidRPr="00A54918">
              <w:rPr>
                <w:rFonts w:cs="Arial"/>
                <w:iCs/>
                <w:lang w:val="es-CO" w:eastAsia="es-CO"/>
              </w:rPr>
              <w:t>Por la cual se modifica el Procedimiento contable para el registro de los procesos judiciales, arbitrajes, conciliaciones extrajudiciales y embargos sobre cuentas bancarias, del Marco Normativo para Entidades de Gobierno</w:t>
            </w:r>
            <w:r w:rsidR="00A54918" w:rsidRPr="00A54918">
              <w:rPr>
                <w:rFonts w:cs="Arial"/>
                <w:iCs/>
                <w:lang w:val="es-CO" w:eastAsia="es-CO"/>
              </w:rPr>
              <w:t>»</w:t>
            </w:r>
            <w:r w:rsidR="00E51145" w:rsidRPr="00A54918">
              <w:rPr>
                <w:rFonts w:cs="Arial"/>
                <w:iCs/>
                <w:lang w:val="es-CO" w:eastAsia="es-CO"/>
              </w:rPr>
              <w:t>,</w:t>
            </w:r>
            <w:r w:rsidR="00CE0885" w:rsidRPr="00A54918">
              <w:rPr>
                <w:rFonts w:cs="Arial"/>
                <w:iCs/>
                <w:lang w:val="es-CO" w:eastAsia="es-CO"/>
              </w:rPr>
              <w:t xml:space="preserve"> </w:t>
            </w:r>
            <w:r w:rsidRPr="00A54918">
              <w:rPr>
                <w:rFonts w:cs="Arial"/>
                <w:iCs/>
                <w:lang w:val="es-CO" w:eastAsia="es-CO"/>
              </w:rPr>
              <w:t xml:space="preserve">es viable para la </w:t>
            </w:r>
            <w:r w:rsidR="00C429E3" w:rsidRPr="00A54918">
              <w:rPr>
                <w:rFonts w:cs="Arial"/>
                <w:iCs/>
                <w:lang w:val="es-CO" w:eastAsia="es-CO"/>
              </w:rPr>
              <w:t>e</w:t>
            </w:r>
            <w:r w:rsidRPr="00A54918">
              <w:rPr>
                <w:rFonts w:cs="Arial"/>
                <w:iCs/>
                <w:lang w:val="es-CO" w:eastAsia="es-CO"/>
              </w:rPr>
              <w:t xml:space="preserve">ntidad </w:t>
            </w:r>
            <w:r w:rsidR="00CE0885" w:rsidRPr="00A54918">
              <w:rPr>
                <w:rFonts w:cs="Arial"/>
                <w:iCs/>
                <w:lang w:val="es-CO" w:eastAsia="es-CO"/>
              </w:rPr>
              <w:t>modifica</w:t>
            </w:r>
            <w:r w:rsidR="00CE0885" w:rsidRPr="00540DF9">
              <w:rPr>
                <w:rFonts w:cs="Arial"/>
                <w:iCs/>
                <w:lang w:val="es-CO" w:eastAsia="es-CO"/>
              </w:rPr>
              <w:t xml:space="preserve">r </w:t>
            </w:r>
            <w:r w:rsidRPr="00540DF9">
              <w:rPr>
                <w:rFonts w:cs="Arial"/>
                <w:iCs/>
                <w:lang w:val="es-CO" w:eastAsia="es-CO"/>
              </w:rPr>
              <w:t>este procedimiento a través de la guía para el reconocimiento de derechos y revelación de activos contingentes, el reconocimiento de obligaciones y revelación de pasivos contingentes, así como el registro de los embargos, títulos judiciales y pago de sentencias</w:t>
            </w:r>
            <w:r w:rsidR="00C429E3">
              <w:rPr>
                <w:rFonts w:cs="Arial"/>
                <w:iCs/>
                <w:lang w:val="es-CO" w:eastAsia="es-CO"/>
              </w:rPr>
              <w:t xml:space="preserve">, adoptada mediante la </w:t>
            </w:r>
            <w:r w:rsidR="00C429E3" w:rsidRPr="00540DF9">
              <w:rPr>
                <w:rFonts w:cs="Arial"/>
                <w:lang w:val="es-CO" w:eastAsia="es-CO"/>
              </w:rPr>
              <w:t>Resolución No. 02279 del 25 de septiembre de 2018</w:t>
            </w:r>
            <w:r w:rsidRPr="00540DF9">
              <w:rPr>
                <w:rFonts w:cs="Arial"/>
                <w:iCs/>
                <w:lang w:val="es-CO" w:eastAsia="es-CO"/>
              </w:rPr>
              <w:t>.</w:t>
            </w:r>
          </w:p>
          <w:p w14:paraId="275468B2" w14:textId="2703FA03" w:rsidR="000B2496" w:rsidRDefault="000B2496" w:rsidP="00556890">
            <w:pPr>
              <w:jc w:val="both"/>
              <w:rPr>
                <w:rFonts w:cs="Arial"/>
                <w:iCs/>
                <w:lang w:val="es-CO" w:eastAsia="es-CO"/>
              </w:rPr>
            </w:pPr>
          </w:p>
          <w:p w14:paraId="5E9B0F58" w14:textId="7DA87D07" w:rsidR="000B2496" w:rsidRDefault="000B2496" w:rsidP="00556890">
            <w:pPr>
              <w:jc w:val="both"/>
              <w:rPr>
                <w:rFonts w:cs="Arial"/>
                <w:iCs/>
                <w:lang w:val="es-CO" w:eastAsia="es-CO"/>
              </w:rPr>
            </w:pPr>
          </w:p>
          <w:p w14:paraId="43D1827C" w14:textId="77777777" w:rsidR="000B2496" w:rsidRDefault="000B2496" w:rsidP="00556890">
            <w:pPr>
              <w:jc w:val="both"/>
              <w:rPr>
                <w:rFonts w:cs="Arial"/>
                <w:iCs/>
                <w:lang w:val="es-CO" w:eastAsia="es-CO"/>
              </w:rPr>
            </w:pPr>
          </w:p>
          <w:p w14:paraId="01E1B6A4" w14:textId="4901AC90" w:rsidR="000B2496" w:rsidRPr="000B2496" w:rsidRDefault="000B2496" w:rsidP="000B2496">
            <w:pPr>
              <w:jc w:val="both"/>
              <w:rPr>
                <w:rFonts w:cs="Arial"/>
                <w:iCs/>
                <w:lang w:val="es-CO" w:eastAsia="es-CO"/>
              </w:rPr>
            </w:pPr>
            <w:r w:rsidRPr="000B2496">
              <w:rPr>
                <w:rFonts w:cs="Arial"/>
                <w:iCs/>
                <w:lang w:val="es-CO" w:eastAsia="es-CO"/>
              </w:rPr>
              <w:lastRenderedPageBreak/>
              <w:t>3.2 Vigencia de la ley o norma reglamentada o desarrollada</w:t>
            </w:r>
            <w:r>
              <w:rPr>
                <w:rFonts w:cs="Arial"/>
                <w:iCs/>
                <w:lang w:val="es-CO" w:eastAsia="es-CO"/>
              </w:rPr>
              <w:t>.</w:t>
            </w:r>
          </w:p>
          <w:p w14:paraId="1B433807" w14:textId="0E042C3B" w:rsidR="000B2496" w:rsidRDefault="000B2496" w:rsidP="00556890">
            <w:pPr>
              <w:jc w:val="both"/>
              <w:rPr>
                <w:rFonts w:cs="Arial"/>
                <w:iCs/>
                <w:lang w:val="es-CO" w:eastAsia="es-CO"/>
              </w:rPr>
            </w:pPr>
          </w:p>
          <w:p w14:paraId="51218BDB" w14:textId="7567B7D2" w:rsidR="000B2496" w:rsidRPr="00540DF9" w:rsidRDefault="000B2496" w:rsidP="00556890">
            <w:pPr>
              <w:jc w:val="both"/>
              <w:rPr>
                <w:rFonts w:cs="Arial"/>
                <w:iCs/>
                <w:lang w:val="es-CO" w:eastAsia="es-CO"/>
              </w:rPr>
            </w:pPr>
            <w:r>
              <w:rPr>
                <w:rFonts w:cs="Arial"/>
                <w:bCs/>
                <w:iCs/>
                <w:lang w:val="es-419" w:eastAsia="es-CO"/>
              </w:rPr>
              <w:t>E</w:t>
            </w:r>
            <w:r w:rsidRPr="000B2496">
              <w:rPr>
                <w:rFonts w:cs="Arial"/>
                <w:bCs/>
                <w:iCs/>
                <w:lang w:val="es-419" w:eastAsia="es-CO"/>
              </w:rPr>
              <w:t>l artículo 1 de la Ley 448 de 1998</w:t>
            </w:r>
            <w:r>
              <w:rPr>
                <w:rFonts w:cs="Arial"/>
                <w:bCs/>
                <w:iCs/>
                <w:lang w:val="es-419" w:eastAsia="es-CO"/>
              </w:rPr>
              <w:t xml:space="preserve"> se encuentra vigente.</w:t>
            </w:r>
          </w:p>
          <w:p w14:paraId="7957B11D" w14:textId="6ABE8610" w:rsidR="00795C6B" w:rsidRDefault="00795C6B" w:rsidP="00540DF9">
            <w:pPr>
              <w:ind w:hanging="283"/>
              <w:jc w:val="both"/>
              <w:rPr>
                <w:rFonts w:cs="Arial"/>
                <w:lang w:val="es-CO" w:eastAsia="es-CO"/>
              </w:rPr>
            </w:pPr>
          </w:p>
          <w:p w14:paraId="33403032" w14:textId="6277CE9E" w:rsidR="000B2496" w:rsidRPr="000B2496" w:rsidRDefault="000B2496" w:rsidP="000B2496">
            <w:pPr>
              <w:jc w:val="both"/>
              <w:rPr>
                <w:rFonts w:cs="Arial"/>
                <w:lang w:val="es-CO" w:eastAsia="es-CO"/>
              </w:rPr>
            </w:pPr>
            <w:r w:rsidRPr="000B2496">
              <w:rPr>
                <w:rFonts w:cs="Arial"/>
                <w:lang w:val="es-CO" w:eastAsia="es-CO"/>
              </w:rPr>
              <w:t>3.3. Disposiciones deroga</w:t>
            </w:r>
            <w:r>
              <w:rPr>
                <w:rFonts w:cs="Arial"/>
                <w:lang w:val="es-CO" w:eastAsia="es-CO"/>
              </w:rPr>
              <w:t>da</w:t>
            </w:r>
            <w:r w:rsidRPr="000B2496">
              <w:rPr>
                <w:rFonts w:cs="Arial"/>
                <w:lang w:val="es-CO" w:eastAsia="es-CO"/>
              </w:rPr>
              <w:t xml:space="preserve">s, subrogadas, modificadas, adicionadas o sustituidas </w:t>
            </w:r>
          </w:p>
          <w:p w14:paraId="6C62C032" w14:textId="77777777" w:rsidR="000B2496" w:rsidRDefault="000B2496" w:rsidP="00540DF9">
            <w:pPr>
              <w:jc w:val="both"/>
              <w:rPr>
                <w:rFonts w:cs="Arial"/>
                <w:lang w:val="es-CO" w:eastAsia="es-CO"/>
              </w:rPr>
            </w:pPr>
          </w:p>
          <w:p w14:paraId="0D8A54FA" w14:textId="77777777" w:rsidR="000B2496" w:rsidRDefault="000B2496" w:rsidP="00540DF9">
            <w:pPr>
              <w:jc w:val="both"/>
              <w:rPr>
                <w:rFonts w:cs="Arial"/>
                <w:lang w:val="es-CO" w:eastAsia="es-CO"/>
              </w:rPr>
            </w:pPr>
            <w:r>
              <w:rPr>
                <w:rFonts w:cs="Arial"/>
                <w:lang w:val="es-CO" w:eastAsia="es-CO"/>
              </w:rPr>
              <w:t>Se modifica en lo pertinente, l</w:t>
            </w:r>
            <w:r w:rsidR="00412014" w:rsidRPr="00540DF9">
              <w:rPr>
                <w:rFonts w:cs="Arial"/>
                <w:lang w:val="es-CO" w:eastAsia="es-CO"/>
              </w:rPr>
              <w:t>a Resolución N.</w:t>
            </w:r>
            <w:r w:rsidR="00A54918">
              <w:rPr>
                <w:rFonts w:cs="Arial"/>
                <w:lang w:val="es-CO" w:eastAsia="es-CO"/>
              </w:rPr>
              <w:t>º</w:t>
            </w:r>
            <w:r w:rsidR="00412014" w:rsidRPr="00540DF9">
              <w:rPr>
                <w:rFonts w:cs="Arial"/>
                <w:lang w:val="es-CO" w:eastAsia="es-CO"/>
              </w:rPr>
              <w:t xml:space="preserve"> 02279 del 25 de septiembre de 2018 </w:t>
            </w:r>
            <w:r w:rsidR="00A54918" w:rsidRPr="00A54918">
              <w:rPr>
                <w:rFonts w:cs="Arial"/>
                <w:lang w:val="es-CO" w:eastAsia="es-CO"/>
              </w:rPr>
              <w:t>«</w:t>
            </w:r>
            <w:r w:rsidR="00412014" w:rsidRPr="00A54918">
              <w:rPr>
                <w:rFonts w:cs="Arial"/>
                <w:lang w:val="es-CO" w:eastAsia="es-CO"/>
              </w:rPr>
              <w:t>Por medio de la cual se adopta la guía para el cálculo de provisiones y reconocimiento contable de los procesos judiciales, arbitramentos y conciliaciones extrajudiciales en los que la entidad es parte y embargos de cuentas bancarias en Prosperidad Social</w:t>
            </w:r>
            <w:r w:rsidR="00A54918" w:rsidRPr="00A54918">
              <w:rPr>
                <w:rFonts w:cs="Arial"/>
                <w:lang w:val="es-CO" w:eastAsia="es-CO"/>
              </w:rPr>
              <w:t>»</w:t>
            </w:r>
            <w:r w:rsidR="000E106D" w:rsidRPr="00540DF9">
              <w:rPr>
                <w:rFonts w:cs="Arial"/>
                <w:lang w:val="es-CO" w:eastAsia="es-CO"/>
              </w:rPr>
              <w:t>.</w:t>
            </w:r>
          </w:p>
          <w:p w14:paraId="5F8BC47B" w14:textId="77777777" w:rsidR="000B2496" w:rsidRDefault="000B2496" w:rsidP="00540DF9">
            <w:pPr>
              <w:jc w:val="both"/>
              <w:rPr>
                <w:rFonts w:cs="Arial"/>
                <w:lang w:val="es-CO" w:eastAsia="es-CO"/>
              </w:rPr>
            </w:pPr>
          </w:p>
          <w:p w14:paraId="33EF3397" w14:textId="77777777" w:rsidR="000B2496" w:rsidRPr="000B2496" w:rsidRDefault="000B2496" w:rsidP="000B2496">
            <w:pPr>
              <w:jc w:val="both"/>
              <w:rPr>
                <w:rFonts w:cs="Arial"/>
                <w:lang w:val="es-CO" w:eastAsia="es-CO"/>
              </w:rPr>
            </w:pPr>
            <w:r w:rsidRPr="000B2496">
              <w:rPr>
                <w:rFonts w:cs="Arial"/>
                <w:lang w:val="es-CO" w:eastAsia="es-CO"/>
              </w:rPr>
              <w:t>3.4 Revisión y análisis de la jurisprudencia que tenga impacto o sea relevante para la expedición del proyecto normativo (órganos de cierre de cada jurisdicción)</w:t>
            </w:r>
          </w:p>
          <w:p w14:paraId="7D70AED2" w14:textId="2DE04584" w:rsidR="00540DF9" w:rsidRPr="00540DF9" w:rsidRDefault="00D05B67" w:rsidP="000B2496">
            <w:pPr>
              <w:jc w:val="both"/>
              <w:rPr>
                <w:rFonts w:cs="Arial"/>
                <w:lang w:val="es-CO" w:eastAsia="es-CO"/>
              </w:rPr>
            </w:pPr>
            <w:r w:rsidRPr="00540DF9">
              <w:rPr>
                <w:rFonts w:cs="Arial"/>
                <w:lang w:val="es-CO" w:eastAsia="es-CO"/>
              </w:rPr>
              <w:t xml:space="preserve"> </w:t>
            </w:r>
          </w:p>
          <w:p w14:paraId="5F71B8BF" w14:textId="77777777" w:rsidR="00795C6B" w:rsidRDefault="00540DF9" w:rsidP="00540DF9">
            <w:pPr>
              <w:jc w:val="both"/>
              <w:rPr>
                <w:rFonts w:cs="Arial"/>
                <w:lang w:val="es-CO" w:eastAsia="es-CO"/>
              </w:rPr>
            </w:pPr>
            <w:r w:rsidRPr="00540DF9">
              <w:rPr>
                <w:rFonts w:cs="Arial"/>
                <w:lang w:val="es-CO" w:eastAsia="es-CO"/>
              </w:rPr>
              <w:t>No hay jurisprudencia que afecte la expedición de la presente resolución</w:t>
            </w:r>
            <w:r>
              <w:rPr>
                <w:rFonts w:cs="Arial"/>
                <w:lang w:val="es-CO" w:eastAsia="es-CO"/>
              </w:rPr>
              <w:t>.</w:t>
            </w:r>
          </w:p>
          <w:p w14:paraId="50715665" w14:textId="77777777" w:rsidR="000B2496" w:rsidRDefault="000B2496" w:rsidP="00540DF9">
            <w:pPr>
              <w:jc w:val="both"/>
              <w:rPr>
                <w:rFonts w:cs="Arial"/>
                <w:lang w:val="es-CO" w:eastAsia="es-CO"/>
              </w:rPr>
            </w:pPr>
          </w:p>
          <w:p w14:paraId="73B55BF6" w14:textId="77777777" w:rsidR="000B2496" w:rsidRPr="000B2496" w:rsidRDefault="000B2496" w:rsidP="000B2496">
            <w:pPr>
              <w:jc w:val="both"/>
              <w:rPr>
                <w:rFonts w:cs="Arial"/>
                <w:lang w:val="es-CO" w:eastAsia="es-CO"/>
              </w:rPr>
            </w:pPr>
            <w:r w:rsidRPr="000B2496">
              <w:rPr>
                <w:rFonts w:cs="Arial"/>
                <w:lang w:val="es-CO" w:eastAsia="es-CO"/>
              </w:rPr>
              <w:t xml:space="preserve">3.5 Circunstancias jurídicas adicionales </w:t>
            </w:r>
          </w:p>
          <w:p w14:paraId="0F95F1BF" w14:textId="77777777" w:rsidR="000B2496" w:rsidRPr="000B2496" w:rsidRDefault="000B2496" w:rsidP="000B2496">
            <w:pPr>
              <w:jc w:val="both"/>
              <w:rPr>
                <w:rFonts w:cs="Arial"/>
                <w:lang w:val="es-CO" w:eastAsia="es-CO"/>
              </w:rPr>
            </w:pPr>
          </w:p>
          <w:p w14:paraId="499C344B" w14:textId="0667DCDF" w:rsidR="000B2496" w:rsidRPr="00540DF9" w:rsidRDefault="000B2496" w:rsidP="000B2496">
            <w:pPr>
              <w:jc w:val="both"/>
              <w:rPr>
                <w:rFonts w:cs="Arial"/>
                <w:lang w:val="es-CO" w:eastAsia="es-CO"/>
              </w:rPr>
            </w:pPr>
            <w:r w:rsidRPr="000B2496">
              <w:rPr>
                <w:rFonts w:cs="Arial"/>
                <w:lang w:val="es-CO" w:eastAsia="es-CO"/>
              </w:rPr>
              <w:t>Respuesta: N/A</w:t>
            </w:r>
          </w:p>
        </w:tc>
      </w:tr>
      <w:tr w:rsidR="00DF60FD" w:rsidRPr="00540DF9" w14:paraId="3F4DFCDA"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62BFBB" w14:textId="77777777" w:rsidR="00843EFF" w:rsidRPr="00540DF9" w:rsidRDefault="00843EFF" w:rsidP="00A161B9">
            <w:pPr>
              <w:rPr>
                <w:rFonts w:cs="Arial"/>
                <w:b/>
                <w:color w:val="000000"/>
              </w:rPr>
            </w:pPr>
          </w:p>
          <w:p w14:paraId="3CFD8AB0" w14:textId="65538195" w:rsidR="00843EFF" w:rsidRPr="00C12168" w:rsidRDefault="00DF60FD" w:rsidP="00C12168">
            <w:pPr>
              <w:numPr>
                <w:ilvl w:val="0"/>
                <w:numId w:val="45"/>
              </w:numPr>
              <w:rPr>
                <w:rFonts w:cs="Arial"/>
                <w:lang w:val="es-CO"/>
              </w:rPr>
            </w:pPr>
            <w:r w:rsidRPr="00540DF9">
              <w:rPr>
                <w:rFonts w:cs="Arial"/>
                <w:b/>
                <w:color w:val="000000"/>
              </w:rPr>
              <w:t xml:space="preserve">IMPACTO ECONÓMICO </w:t>
            </w:r>
          </w:p>
          <w:p w14:paraId="75DE2280" w14:textId="77777777" w:rsidR="000B2496" w:rsidRDefault="000B2496" w:rsidP="00C12168">
            <w:pPr>
              <w:rPr>
                <w:rFonts w:cs="Arial"/>
                <w:lang w:val="es-CO"/>
              </w:rPr>
            </w:pPr>
          </w:p>
          <w:p w14:paraId="2149BFF1" w14:textId="77777777" w:rsidR="00C12168" w:rsidRDefault="00C12168" w:rsidP="00C12168">
            <w:pPr>
              <w:rPr>
                <w:rFonts w:cs="Arial"/>
                <w:lang w:val="es-CO"/>
              </w:rPr>
            </w:pPr>
            <w:r w:rsidRPr="00C12168">
              <w:rPr>
                <w:rFonts w:cs="Arial"/>
                <w:lang w:val="es-CO"/>
              </w:rPr>
              <w:t>No se observa que la expedición de la Resolución tenga un impacto económico, del cual se pueda señalar el costo o ahorro, de la implementación del respectivo acto.</w:t>
            </w:r>
          </w:p>
          <w:p w14:paraId="38AC2681" w14:textId="65DE6EB3" w:rsidR="000B2496" w:rsidRPr="00540DF9" w:rsidRDefault="000B2496" w:rsidP="00C12168">
            <w:pPr>
              <w:rPr>
                <w:rFonts w:cs="Arial"/>
                <w:lang w:val="es-CO"/>
              </w:rPr>
            </w:pPr>
          </w:p>
        </w:tc>
      </w:tr>
      <w:tr w:rsidR="00DF60FD" w:rsidRPr="00540DF9" w14:paraId="67707621"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EA16CE" w14:textId="77777777" w:rsidR="00843EFF" w:rsidRPr="00540DF9" w:rsidRDefault="00843EFF" w:rsidP="00A161B9">
            <w:pPr>
              <w:rPr>
                <w:rFonts w:cs="Arial"/>
                <w:b/>
                <w:color w:val="000000"/>
              </w:rPr>
            </w:pPr>
          </w:p>
          <w:p w14:paraId="29D492D5" w14:textId="77777777" w:rsidR="00CD2A12" w:rsidRPr="00CD2A12" w:rsidRDefault="00795C6B" w:rsidP="00CD2A12">
            <w:pPr>
              <w:pStyle w:val="Prrafodelista"/>
              <w:numPr>
                <w:ilvl w:val="0"/>
                <w:numId w:val="45"/>
              </w:numPr>
              <w:jc w:val="both"/>
              <w:rPr>
                <w:rFonts w:cs="Arial"/>
                <w:lang w:eastAsia="es-CO"/>
              </w:rPr>
            </w:pPr>
            <w:r w:rsidRPr="00CD2A12">
              <w:rPr>
                <w:rFonts w:cs="Arial"/>
                <w:b/>
                <w:color w:val="000000"/>
              </w:rPr>
              <w:t xml:space="preserve">VIABILIDAD O </w:t>
            </w:r>
            <w:r w:rsidR="00DF60FD" w:rsidRPr="00CD2A12">
              <w:rPr>
                <w:rFonts w:cs="Arial"/>
                <w:b/>
                <w:color w:val="000000"/>
              </w:rPr>
              <w:t>DISPONIBILIDAD PRESUPUESTAL</w:t>
            </w:r>
          </w:p>
          <w:p w14:paraId="1480031D" w14:textId="77777777" w:rsidR="000B2496" w:rsidRDefault="000B2496" w:rsidP="00CD2A12">
            <w:pPr>
              <w:jc w:val="both"/>
              <w:rPr>
                <w:rFonts w:cs="Arial"/>
                <w:color w:val="000000"/>
              </w:rPr>
            </w:pPr>
          </w:p>
          <w:p w14:paraId="0D6DB864" w14:textId="287E689C" w:rsidR="00F44A2E" w:rsidRPr="00CD2A12" w:rsidRDefault="00CD2A12" w:rsidP="00CD2A12">
            <w:pPr>
              <w:jc w:val="both"/>
              <w:rPr>
                <w:rFonts w:cs="Arial"/>
                <w:lang w:eastAsia="es-CO"/>
              </w:rPr>
            </w:pPr>
            <w:r w:rsidRPr="00CD2A12">
              <w:rPr>
                <w:rFonts w:cs="Arial"/>
                <w:color w:val="000000"/>
              </w:rPr>
              <w:t xml:space="preserve">No requiere. </w:t>
            </w:r>
          </w:p>
          <w:p w14:paraId="45479D75" w14:textId="77777777" w:rsidR="00696582" w:rsidRPr="00540DF9" w:rsidRDefault="00696582" w:rsidP="00F44A2E">
            <w:pPr>
              <w:jc w:val="both"/>
              <w:rPr>
                <w:rFonts w:cs="Arial"/>
                <w:lang w:eastAsia="es-CO"/>
              </w:rPr>
            </w:pPr>
          </w:p>
        </w:tc>
      </w:tr>
      <w:tr w:rsidR="00DF60FD" w:rsidRPr="00540DF9" w14:paraId="36999800"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23B13185" w14:textId="7EFC8F7C" w:rsidR="00D05B67" w:rsidRDefault="00DF60FD" w:rsidP="00CD2A12">
            <w:pPr>
              <w:numPr>
                <w:ilvl w:val="0"/>
                <w:numId w:val="45"/>
              </w:numPr>
              <w:jc w:val="both"/>
              <w:rPr>
                <w:rFonts w:cs="Arial"/>
                <w:b/>
                <w:color w:val="000000"/>
              </w:rPr>
            </w:pPr>
            <w:r w:rsidRPr="00540DF9">
              <w:rPr>
                <w:rFonts w:cs="Arial"/>
                <w:b/>
                <w:color w:val="000000"/>
              </w:rPr>
              <w:t xml:space="preserve"> IMPACTO MEDIOAMBIENTAL O SOBRE EL PATRIMONIO CULTURAL DE LA NACIÓN </w:t>
            </w:r>
          </w:p>
          <w:p w14:paraId="523DD0C1" w14:textId="77777777" w:rsidR="000B2496" w:rsidRDefault="000B2496" w:rsidP="00CD2A12">
            <w:pPr>
              <w:jc w:val="both"/>
              <w:rPr>
                <w:rFonts w:cs="Arial"/>
                <w:bCs/>
                <w:color w:val="000000"/>
              </w:rPr>
            </w:pPr>
          </w:p>
          <w:p w14:paraId="5FC57EAD" w14:textId="25553E25" w:rsidR="00CD2A12" w:rsidRPr="00CD2A12" w:rsidRDefault="00387437" w:rsidP="00CD2A12">
            <w:pPr>
              <w:jc w:val="both"/>
              <w:rPr>
                <w:rFonts w:cs="Arial"/>
                <w:bCs/>
                <w:color w:val="000000"/>
              </w:rPr>
            </w:pPr>
            <w:r w:rsidRPr="00387437">
              <w:rPr>
                <w:rFonts w:cs="Arial"/>
                <w:bCs/>
                <w:color w:val="000000"/>
              </w:rPr>
              <w:t>No genera impacto ambiental.</w:t>
            </w:r>
          </w:p>
        </w:tc>
      </w:tr>
      <w:tr w:rsidR="00DF60FD" w:rsidRPr="00540DF9" w14:paraId="041A688E"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3D691A15" w14:textId="77777777" w:rsidR="00D05B67" w:rsidRPr="00540DF9" w:rsidRDefault="00D05B67" w:rsidP="00696582">
            <w:pPr>
              <w:numPr>
                <w:ilvl w:val="0"/>
                <w:numId w:val="45"/>
              </w:numPr>
              <w:jc w:val="both"/>
              <w:rPr>
                <w:rFonts w:cs="Arial"/>
              </w:rPr>
            </w:pPr>
            <w:r w:rsidRPr="00540DF9">
              <w:rPr>
                <w:rFonts w:cs="Arial"/>
                <w:b/>
              </w:rPr>
              <w:t>ESTUDIOS TÉCNICOS QUE SUSTENTEN EL PROYECTO NORMATIVO</w:t>
            </w:r>
            <w:r w:rsidRPr="00540DF9">
              <w:rPr>
                <w:rFonts w:cs="Arial"/>
              </w:rPr>
              <w:t xml:space="preserve"> (Si cuenta con ellos)</w:t>
            </w:r>
            <w:r w:rsidR="00696582" w:rsidRPr="00540DF9">
              <w:rPr>
                <w:rFonts w:cs="Arial"/>
              </w:rPr>
              <w:t xml:space="preserve"> </w:t>
            </w:r>
          </w:p>
        </w:tc>
      </w:tr>
      <w:tr w:rsidR="00DF60FD" w:rsidRPr="00540DF9" w14:paraId="522A031A"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429C9A9" w14:textId="5E946AB7" w:rsidR="00843EFF" w:rsidRPr="003272CB" w:rsidRDefault="003272CB" w:rsidP="00A161B9">
            <w:pPr>
              <w:rPr>
                <w:rFonts w:cs="Arial"/>
                <w:bCs/>
                <w:color w:val="000000"/>
              </w:rPr>
            </w:pPr>
            <w:r w:rsidRPr="003272CB">
              <w:rPr>
                <w:rFonts w:cs="Arial"/>
                <w:bCs/>
                <w:color w:val="000000"/>
              </w:rPr>
              <w:t xml:space="preserve">No </w:t>
            </w:r>
            <w:r>
              <w:rPr>
                <w:rFonts w:cs="Arial"/>
                <w:bCs/>
                <w:color w:val="000000"/>
              </w:rPr>
              <w:t>requiere.</w:t>
            </w:r>
          </w:p>
        </w:tc>
      </w:tr>
      <w:tr w:rsidR="00DF60FD" w:rsidRPr="00540DF9" w14:paraId="33CE1CC2"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30C5EAD1" w14:textId="77777777" w:rsidR="00DF60FD" w:rsidRPr="00540DF9" w:rsidRDefault="00DF60FD" w:rsidP="00F55DC4">
            <w:pPr>
              <w:jc w:val="both"/>
              <w:rPr>
                <w:rFonts w:cs="Arial"/>
              </w:rPr>
            </w:pPr>
          </w:p>
        </w:tc>
      </w:tr>
      <w:tr w:rsidR="00DF60FD" w:rsidRPr="00540DF9" w14:paraId="6B4C4A95"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532073C" w14:textId="77777777" w:rsidR="00DF60FD" w:rsidRPr="00540DF9" w:rsidRDefault="00DF60FD" w:rsidP="00A161B9">
            <w:pPr>
              <w:rPr>
                <w:rFonts w:cs="Arial"/>
                <w:color w:val="996633"/>
              </w:rPr>
            </w:pPr>
          </w:p>
        </w:tc>
      </w:tr>
      <w:tr w:rsidR="00DF60FD" w:rsidRPr="00540DF9" w14:paraId="79F28F06"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8D62266" w14:textId="77777777" w:rsidR="00DF60FD" w:rsidRPr="00540DF9" w:rsidRDefault="00DF60FD" w:rsidP="00F55DC4">
            <w:pPr>
              <w:jc w:val="both"/>
              <w:rPr>
                <w:rFonts w:cs="Arial"/>
              </w:rPr>
            </w:pPr>
          </w:p>
        </w:tc>
      </w:tr>
      <w:tr w:rsidR="00DF60FD" w:rsidRPr="00540DF9" w14:paraId="01D8C73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6965CF90" w14:textId="77777777" w:rsidR="00DF60FD" w:rsidRPr="00540DF9" w:rsidRDefault="00DF60FD" w:rsidP="00C7294E">
            <w:pPr>
              <w:jc w:val="center"/>
              <w:rPr>
                <w:rFonts w:cs="Arial"/>
              </w:rPr>
            </w:pPr>
          </w:p>
        </w:tc>
      </w:tr>
      <w:tr w:rsidR="00DF60FD" w:rsidRPr="00540DF9" w14:paraId="0AB7FFF5"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745F6524" w14:textId="77777777" w:rsidR="00DF60FD" w:rsidRPr="00540DF9" w:rsidRDefault="00DF60FD" w:rsidP="00843EFF">
            <w:pPr>
              <w:jc w:val="center"/>
              <w:rPr>
                <w:rFonts w:cs="Arial"/>
                <w:u w:val="single"/>
              </w:rPr>
            </w:pPr>
          </w:p>
        </w:tc>
      </w:tr>
      <w:tr w:rsidR="00DF60FD" w:rsidRPr="00540DF9" w14:paraId="56046849" w14:textId="77777777" w:rsidTr="00696582">
        <w:trPr>
          <w:trHeight w:val="416"/>
        </w:trPr>
        <w:tc>
          <w:tcPr>
            <w:tcW w:w="10774" w:type="dxa"/>
            <w:gridSpan w:val="3"/>
            <w:tcBorders>
              <w:top w:val="single" w:sz="4" w:space="0" w:color="auto"/>
              <w:bottom w:val="single" w:sz="4" w:space="0" w:color="auto"/>
            </w:tcBorders>
            <w:shd w:val="clear" w:color="auto" w:fill="5B8AFF"/>
            <w:vAlign w:val="center"/>
          </w:tcPr>
          <w:p w14:paraId="4FE3175F" w14:textId="77777777" w:rsidR="00F55DC4" w:rsidRPr="00540DF9" w:rsidRDefault="00DF60FD" w:rsidP="00696582">
            <w:pPr>
              <w:jc w:val="center"/>
              <w:rPr>
                <w:rFonts w:cs="Arial"/>
                <w:color w:val="FFFFFF"/>
              </w:rPr>
            </w:pPr>
            <w:r w:rsidRPr="00540DF9">
              <w:rPr>
                <w:rFonts w:cs="Arial"/>
                <w:b/>
                <w:color w:val="FFFFFF"/>
              </w:rPr>
              <w:t>ANEXOS</w:t>
            </w:r>
            <w:r w:rsidR="00D05B67" w:rsidRPr="00540DF9">
              <w:rPr>
                <w:rFonts w:cs="Arial"/>
                <w:b/>
                <w:color w:val="FFFFFF"/>
              </w:rPr>
              <w:t>:</w:t>
            </w:r>
            <w:r w:rsidR="00696582" w:rsidRPr="00540DF9">
              <w:rPr>
                <w:rFonts w:cs="Arial"/>
                <w:color w:val="FFFFFF"/>
              </w:rPr>
              <w:t xml:space="preserve"> </w:t>
            </w:r>
          </w:p>
        </w:tc>
      </w:tr>
      <w:tr w:rsidR="00D05B67" w:rsidRPr="00540DF9" w14:paraId="49CA5A87"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02218B05" w14:textId="77777777" w:rsidR="00D05B67" w:rsidRPr="00540DF9" w:rsidRDefault="00D05B67" w:rsidP="00D05B67">
            <w:pPr>
              <w:jc w:val="both"/>
              <w:rPr>
                <w:rFonts w:cs="Arial"/>
              </w:rPr>
            </w:pPr>
            <w:r w:rsidRPr="00540DF9">
              <w:rPr>
                <w:rFonts w:cs="Arial"/>
              </w:rPr>
              <w:t xml:space="preserve">Certificación de cumplimiento de requisitos de consulta, publicidad y de incorporación en la agenda regulatoria </w:t>
            </w:r>
          </w:p>
          <w:p w14:paraId="5BDEF1C4" w14:textId="3CC6CF3D" w:rsidR="00D05B67" w:rsidRPr="00540DF9" w:rsidRDefault="00D05B67" w:rsidP="00D05B67">
            <w:pPr>
              <w:jc w:val="both"/>
              <w:rPr>
                <w:rFonts w:cs="Arial"/>
                <w:i/>
                <w:color w:val="808080"/>
              </w:rPr>
            </w:pPr>
          </w:p>
        </w:tc>
        <w:tc>
          <w:tcPr>
            <w:tcW w:w="3119" w:type="dxa"/>
            <w:tcBorders>
              <w:top w:val="single" w:sz="4" w:space="0" w:color="auto"/>
              <w:left w:val="single" w:sz="4" w:space="0" w:color="auto"/>
              <w:bottom w:val="single" w:sz="4" w:space="0" w:color="auto"/>
            </w:tcBorders>
            <w:shd w:val="clear" w:color="auto" w:fill="FFFFFF"/>
            <w:vAlign w:val="center"/>
          </w:tcPr>
          <w:p w14:paraId="12EDD9D4" w14:textId="23B95171" w:rsidR="00D05B67" w:rsidRPr="00540DF9" w:rsidRDefault="008803CA" w:rsidP="008803CA">
            <w:pPr>
              <w:jc w:val="center"/>
              <w:rPr>
                <w:rFonts w:cs="Arial"/>
                <w:i/>
                <w:color w:val="808080"/>
              </w:rPr>
            </w:pPr>
            <w:r>
              <w:rPr>
                <w:rFonts w:cs="Arial"/>
                <w:iCs/>
              </w:rPr>
              <w:t>X</w:t>
            </w:r>
          </w:p>
        </w:tc>
      </w:tr>
      <w:tr w:rsidR="00D05B67" w:rsidRPr="00540DF9" w14:paraId="03C086A5"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2FFD5F1" w14:textId="77777777" w:rsidR="00D05B67" w:rsidRPr="00540DF9" w:rsidRDefault="00D05B67" w:rsidP="00D05B67">
            <w:pPr>
              <w:jc w:val="both"/>
              <w:rPr>
                <w:rFonts w:cs="Arial"/>
              </w:rPr>
            </w:pPr>
            <w:r w:rsidRPr="00540DF9">
              <w:rPr>
                <w:rFonts w:cs="Arial"/>
              </w:rPr>
              <w:t>Concepto</w:t>
            </w:r>
            <w:r w:rsidR="005F30C3" w:rsidRPr="00540DF9">
              <w:rPr>
                <w:rFonts w:cs="Arial"/>
              </w:rPr>
              <w:t>(s)</w:t>
            </w:r>
            <w:r w:rsidRPr="00540DF9">
              <w:rPr>
                <w:rFonts w:cs="Arial"/>
              </w:rPr>
              <w:t xml:space="preserve"> de Min</w:t>
            </w:r>
            <w:r w:rsidR="005F30C3" w:rsidRPr="00540DF9">
              <w:rPr>
                <w:rFonts w:cs="Arial"/>
              </w:rPr>
              <w:t>isterio de</w:t>
            </w:r>
            <w:r w:rsidRPr="00540DF9">
              <w:rPr>
                <w:rFonts w:cs="Arial"/>
              </w:rPr>
              <w:t xml:space="preserve"> Comercio</w:t>
            </w:r>
            <w:r w:rsidR="005F30C3" w:rsidRPr="00540DF9">
              <w:rPr>
                <w:rFonts w:cs="Arial"/>
              </w:rPr>
              <w:t>, Industria y Turismo</w:t>
            </w:r>
          </w:p>
          <w:p w14:paraId="5BBF63C7" w14:textId="7EE59856" w:rsidR="00D05B67" w:rsidRPr="00540DF9" w:rsidRDefault="00D05B67" w:rsidP="00D05B67">
            <w:pPr>
              <w:jc w:val="both"/>
              <w:rPr>
                <w:rFonts w:cs="Arial"/>
                <w:i/>
                <w:color w:val="808080"/>
              </w:rPr>
            </w:pPr>
          </w:p>
        </w:tc>
        <w:tc>
          <w:tcPr>
            <w:tcW w:w="3119" w:type="dxa"/>
            <w:tcBorders>
              <w:top w:val="single" w:sz="4" w:space="0" w:color="auto"/>
              <w:left w:val="single" w:sz="4" w:space="0" w:color="auto"/>
              <w:bottom w:val="single" w:sz="4" w:space="0" w:color="auto"/>
            </w:tcBorders>
            <w:shd w:val="clear" w:color="auto" w:fill="FFFFFF"/>
            <w:vAlign w:val="center"/>
          </w:tcPr>
          <w:p w14:paraId="5863B26B" w14:textId="51B6E9E4" w:rsidR="00D05B67" w:rsidRPr="00A63127" w:rsidRDefault="00A63127" w:rsidP="00D05B67">
            <w:pPr>
              <w:jc w:val="both"/>
              <w:rPr>
                <w:rFonts w:cs="Arial"/>
                <w:iCs/>
              </w:rPr>
            </w:pPr>
            <w:r w:rsidRPr="00A63127">
              <w:rPr>
                <w:rFonts w:cs="Arial"/>
                <w:iCs/>
              </w:rPr>
              <w:t>No requiere</w:t>
            </w:r>
          </w:p>
        </w:tc>
      </w:tr>
      <w:tr w:rsidR="005F30C3" w:rsidRPr="00540DF9" w14:paraId="12004466"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567E4A2" w14:textId="4D528DA2" w:rsidR="005F30C3" w:rsidRPr="00A63127" w:rsidRDefault="005F30C3" w:rsidP="00D05B67">
            <w:pPr>
              <w:jc w:val="both"/>
              <w:rPr>
                <w:rFonts w:cs="Arial"/>
              </w:rPr>
            </w:pPr>
            <w:r w:rsidRPr="00540DF9">
              <w:rPr>
                <w:rFonts w:cs="Arial"/>
              </w:rPr>
              <w:t xml:space="preserve">Informe de observaciones y respuestas </w:t>
            </w:r>
          </w:p>
        </w:tc>
        <w:tc>
          <w:tcPr>
            <w:tcW w:w="3119" w:type="dxa"/>
            <w:tcBorders>
              <w:top w:val="single" w:sz="4" w:space="0" w:color="auto"/>
              <w:left w:val="single" w:sz="4" w:space="0" w:color="auto"/>
              <w:bottom w:val="single" w:sz="4" w:space="0" w:color="auto"/>
            </w:tcBorders>
            <w:shd w:val="clear" w:color="auto" w:fill="FFFFFF"/>
            <w:vAlign w:val="center"/>
          </w:tcPr>
          <w:p w14:paraId="4DBACABB" w14:textId="459ECA62" w:rsidR="005F30C3" w:rsidRPr="002175E1" w:rsidRDefault="008803CA" w:rsidP="008803CA">
            <w:pPr>
              <w:jc w:val="center"/>
              <w:rPr>
                <w:rFonts w:cs="Arial"/>
                <w:iCs/>
              </w:rPr>
            </w:pPr>
            <w:r>
              <w:rPr>
                <w:rFonts w:cs="Arial"/>
                <w:iCs/>
              </w:rPr>
              <w:t>X</w:t>
            </w:r>
          </w:p>
        </w:tc>
      </w:tr>
      <w:tr w:rsidR="005F30C3" w:rsidRPr="00540DF9" w14:paraId="00BE1D44"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2F4CB614" w14:textId="77777777" w:rsidR="005F30C3" w:rsidRPr="00540DF9" w:rsidRDefault="005F30C3" w:rsidP="00D05B67">
            <w:pPr>
              <w:jc w:val="both"/>
              <w:rPr>
                <w:rFonts w:cs="Arial"/>
              </w:rPr>
            </w:pPr>
            <w:r w:rsidRPr="00540DF9">
              <w:rPr>
                <w:rFonts w:cs="Arial"/>
              </w:rPr>
              <w:t>Concepto de Abogacía de la Competencia de la Superintendencia de Industria y Comercio</w:t>
            </w:r>
          </w:p>
          <w:p w14:paraId="2CF1D982" w14:textId="3C705716" w:rsidR="005F30C3" w:rsidRPr="00540DF9" w:rsidRDefault="005F30C3" w:rsidP="00D05B67">
            <w:pPr>
              <w:jc w:val="both"/>
              <w:rPr>
                <w:rFonts w:cs="Arial"/>
                <w:i/>
                <w:color w:val="808080"/>
              </w:rPr>
            </w:pPr>
          </w:p>
        </w:tc>
        <w:tc>
          <w:tcPr>
            <w:tcW w:w="3119" w:type="dxa"/>
            <w:tcBorders>
              <w:top w:val="single" w:sz="4" w:space="0" w:color="auto"/>
              <w:left w:val="single" w:sz="4" w:space="0" w:color="auto"/>
              <w:bottom w:val="single" w:sz="4" w:space="0" w:color="auto"/>
            </w:tcBorders>
            <w:shd w:val="clear" w:color="auto" w:fill="FFFFFF"/>
            <w:vAlign w:val="center"/>
          </w:tcPr>
          <w:p w14:paraId="55322B90" w14:textId="25CEFCFE" w:rsidR="005F30C3" w:rsidRPr="00540DF9" w:rsidRDefault="002175E1" w:rsidP="00D05B67">
            <w:pPr>
              <w:jc w:val="both"/>
              <w:rPr>
                <w:rFonts w:cs="Arial"/>
              </w:rPr>
            </w:pPr>
            <w:r w:rsidRPr="00A63127">
              <w:rPr>
                <w:rFonts w:cs="Arial"/>
                <w:iCs/>
              </w:rPr>
              <w:t>No requiere</w:t>
            </w:r>
          </w:p>
        </w:tc>
      </w:tr>
      <w:tr w:rsidR="005F30C3" w:rsidRPr="00540DF9" w14:paraId="25F5D92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875670A" w14:textId="77777777" w:rsidR="005F30C3" w:rsidRPr="00540DF9" w:rsidRDefault="005F30C3" w:rsidP="00D05B67">
            <w:pPr>
              <w:jc w:val="both"/>
              <w:rPr>
                <w:rFonts w:cs="Arial"/>
              </w:rPr>
            </w:pPr>
            <w:r w:rsidRPr="00540DF9">
              <w:rPr>
                <w:rFonts w:cs="Arial"/>
              </w:rPr>
              <w:lastRenderedPageBreak/>
              <w:t>Concepto de aprobación nuevos trámites del Departamento Administrativo de la Función Pública</w:t>
            </w:r>
          </w:p>
          <w:p w14:paraId="6AFE99FD" w14:textId="10CC6675" w:rsidR="005F30C3" w:rsidRPr="00540DF9" w:rsidRDefault="005F30C3" w:rsidP="00D05B67">
            <w:pPr>
              <w:jc w:val="both"/>
              <w:rPr>
                <w:rFonts w:cs="Arial"/>
              </w:rPr>
            </w:pPr>
          </w:p>
        </w:tc>
        <w:tc>
          <w:tcPr>
            <w:tcW w:w="3119" w:type="dxa"/>
            <w:tcBorders>
              <w:top w:val="single" w:sz="4" w:space="0" w:color="auto"/>
              <w:left w:val="single" w:sz="4" w:space="0" w:color="auto"/>
              <w:bottom w:val="single" w:sz="4" w:space="0" w:color="auto"/>
            </w:tcBorders>
            <w:shd w:val="clear" w:color="auto" w:fill="FFFFFF"/>
            <w:vAlign w:val="center"/>
          </w:tcPr>
          <w:p w14:paraId="44665C75" w14:textId="22B73F7F" w:rsidR="005F30C3" w:rsidRPr="00540DF9" w:rsidRDefault="002175E1" w:rsidP="00D05B67">
            <w:pPr>
              <w:jc w:val="both"/>
              <w:rPr>
                <w:rFonts w:cs="Arial"/>
              </w:rPr>
            </w:pPr>
            <w:r w:rsidRPr="00A63127">
              <w:rPr>
                <w:rFonts w:cs="Arial"/>
                <w:iCs/>
              </w:rPr>
              <w:t>No requiere</w:t>
            </w:r>
          </w:p>
        </w:tc>
      </w:tr>
      <w:tr w:rsidR="005F30C3" w:rsidRPr="00540DF9" w14:paraId="758051AD"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397C504" w14:textId="77777777" w:rsidR="005F30C3" w:rsidRPr="00540DF9" w:rsidRDefault="005F30C3" w:rsidP="00084B49">
            <w:pPr>
              <w:jc w:val="both"/>
              <w:rPr>
                <w:rFonts w:cs="Arial"/>
              </w:rPr>
            </w:pPr>
            <w:r w:rsidRPr="00540DF9">
              <w:rPr>
                <w:rFonts w:cs="Arial"/>
              </w:rPr>
              <w:t xml:space="preserve">Otro </w:t>
            </w:r>
          </w:p>
          <w:p w14:paraId="506E1839" w14:textId="3B969341" w:rsidR="005F30C3" w:rsidRPr="00540DF9" w:rsidRDefault="005F30C3" w:rsidP="00084B49">
            <w:pPr>
              <w:jc w:val="both"/>
              <w:rPr>
                <w:rFonts w:cs="Arial"/>
              </w:rPr>
            </w:pPr>
          </w:p>
        </w:tc>
        <w:tc>
          <w:tcPr>
            <w:tcW w:w="3119" w:type="dxa"/>
            <w:tcBorders>
              <w:top w:val="single" w:sz="4" w:space="0" w:color="auto"/>
              <w:left w:val="single" w:sz="4" w:space="0" w:color="auto"/>
              <w:bottom w:val="single" w:sz="4" w:space="0" w:color="auto"/>
            </w:tcBorders>
            <w:shd w:val="clear" w:color="auto" w:fill="FFFFFF"/>
            <w:vAlign w:val="center"/>
          </w:tcPr>
          <w:p w14:paraId="2AA42085" w14:textId="6CE80089" w:rsidR="005F30C3" w:rsidRPr="00540DF9" w:rsidRDefault="002175E1" w:rsidP="00D05B67">
            <w:pPr>
              <w:jc w:val="both"/>
              <w:rPr>
                <w:rFonts w:cs="Arial"/>
              </w:rPr>
            </w:pPr>
            <w:r w:rsidRPr="00A63127">
              <w:rPr>
                <w:rFonts w:cs="Arial"/>
                <w:iCs/>
              </w:rPr>
              <w:t>No requiere</w:t>
            </w:r>
          </w:p>
        </w:tc>
      </w:tr>
    </w:tbl>
    <w:p w14:paraId="1372F458" w14:textId="77777777" w:rsidR="008803CA" w:rsidRDefault="008803CA" w:rsidP="008803CA">
      <w:pPr>
        <w:ind w:right="-377"/>
        <w:jc w:val="both"/>
        <w:rPr>
          <w:rFonts w:cs="Arial"/>
          <w:b/>
        </w:rPr>
      </w:pPr>
    </w:p>
    <w:p w14:paraId="27DFC53C" w14:textId="318EF800" w:rsidR="00B66D03" w:rsidRPr="00540DF9" w:rsidRDefault="000B30A6" w:rsidP="00696582">
      <w:pPr>
        <w:ind w:left="-1276" w:right="-377" w:firstLine="283"/>
        <w:jc w:val="both"/>
        <w:rPr>
          <w:rFonts w:cs="Arial"/>
          <w:b/>
        </w:rPr>
      </w:pPr>
      <w:r w:rsidRPr="00540DF9">
        <w:rPr>
          <w:rFonts w:cs="Arial"/>
          <w:b/>
        </w:rPr>
        <w:t>Aprobó</w:t>
      </w:r>
      <w:r w:rsidR="00CB4D37" w:rsidRPr="00540DF9">
        <w:rPr>
          <w:rFonts w:cs="Arial"/>
          <w:b/>
        </w:rPr>
        <w:t>:</w:t>
      </w:r>
    </w:p>
    <w:p w14:paraId="7EB34302" w14:textId="77777777" w:rsidR="008803CA" w:rsidRDefault="008803CA" w:rsidP="00D05B67">
      <w:pPr>
        <w:pStyle w:val="Listavistosa-nfasis11"/>
        <w:jc w:val="both"/>
        <w:rPr>
          <w:rFonts w:ascii="Arial" w:hAnsi="Arial" w:cs="Arial"/>
          <w:b/>
          <w:sz w:val="20"/>
          <w:szCs w:val="20"/>
        </w:rPr>
      </w:pPr>
    </w:p>
    <w:p w14:paraId="37DCFAB6" w14:textId="77777777" w:rsidR="008803CA" w:rsidRDefault="008803CA" w:rsidP="00D05B67">
      <w:pPr>
        <w:pStyle w:val="Listavistosa-nfasis11"/>
        <w:jc w:val="both"/>
        <w:rPr>
          <w:rFonts w:ascii="Arial" w:hAnsi="Arial" w:cs="Arial"/>
          <w:b/>
          <w:sz w:val="20"/>
          <w:szCs w:val="20"/>
        </w:rPr>
      </w:pPr>
    </w:p>
    <w:p w14:paraId="22E23A8B" w14:textId="3E1E9F95" w:rsidR="00D05B67" w:rsidRPr="00540DF9" w:rsidRDefault="00D05B67" w:rsidP="00D05B67">
      <w:pPr>
        <w:pStyle w:val="Listavistosa-nfasis11"/>
        <w:jc w:val="both"/>
        <w:rPr>
          <w:rFonts w:ascii="Arial" w:hAnsi="Arial" w:cs="Arial"/>
          <w:b/>
          <w:sz w:val="20"/>
          <w:szCs w:val="20"/>
        </w:rPr>
      </w:pPr>
      <w:r w:rsidRPr="00540DF9">
        <w:rPr>
          <w:rFonts w:ascii="Arial" w:hAnsi="Arial" w:cs="Arial"/>
          <w:b/>
          <w:sz w:val="20"/>
          <w:szCs w:val="20"/>
        </w:rPr>
        <w:t>________________</w:t>
      </w:r>
    </w:p>
    <w:p w14:paraId="20FAF60C" w14:textId="3E3A7166" w:rsidR="00624418" w:rsidRDefault="00624418" w:rsidP="00696582">
      <w:pPr>
        <w:pStyle w:val="Listavistosa-nfasis11"/>
        <w:rPr>
          <w:rFonts w:ascii="Arial" w:hAnsi="Arial" w:cs="Arial"/>
          <w:b/>
          <w:sz w:val="20"/>
          <w:szCs w:val="20"/>
        </w:rPr>
      </w:pPr>
      <w:r>
        <w:rPr>
          <w:rFonts w:ascii="Arial" w:hAnsi="Arial" w:cs="Arial"/>
          <w:b/>
          <w:sz w:val="20"/>
          <w:szCs w:val="20"/>
        </w:rPr>
        <w:t>LUCY EDREY ACEVEDO MENESES</w:t>
      </w:r>
    </w:p>
    <w:p w14:paraId="5BECAB6E" w14:textId="1E4D1E15" w:rsidR="00D05B67" w:rsidRDefault="00D05B67" w:rsidP="00696582">
      <w:pPr>
        <w:pStyle w:val="Listavistosa-nfasis11"/>
        <w:rPr>
          <w:rFonts w:ascii="Arial" w:hAnsi="Arial" w:cs="Arial"/>
          <w:b/>
          <w:sz w:val="20"/>
          <w:szCs w:val="20"/>
        </w:rPr>
      </w:pPr>
      <w:r w:rsidRPr="00540DF9">
        <w:rPr>
          <w:rFonts w:ascii="Arial" w:hAnsi="Arial" w:cs="Arial"/>
          <w:b/>
          <w:sz w:val="20"/>
          <w:szCs w:val="20"/>
        </w:rPr>
        <w:t xml:space="preserve">Jefe de la Oficina Jurídica </w:t>
      </w:r>
    </w:p>
    <w:p w14:paraId="0F87D942" w14:textId="75645C9B" w:rsidR="00624418" w:rsidRPr="00540DF9" w:rsidRDefault="00624418" w:rsidP="00696582">
      <w:pPr>
        <w:pStyle w:val="Listavistosa-nfasis11"/>
        <w:rPr>
          <w:rFonts w:ascii="Arial" w:hAnsi="Arial" w:cs="Arial"/>
          <w:b/>
          <w:sz w:val="20"/>
          <w:szCs w:val="20"/>
        </w:rPr>
      </w:pPr>
      <w:r>
        <w:rPr>
          <w:rFonts w:ascii="Arial" w:hAnsi="Arial" w:cs="Arial"/>
          <w:b/>
          <w:sz w:val="20"/>
          <w:szCs w:val="20"/>
        </w:rPr>
        <w:t>Departamento Administrativo para la Prosperidad Social</w:t>
      </w:r>
    </w:p>
    <w:p w14:paraId="1348254B" w14:textId="51CB6AA3" w:rsidR="008803CA" w:rsidRDefault="008803CA" w:rsidP="008803CA">
      <w:pPr>
        <w:pStyle w:val="Listavistosa-nfasis11"/>
        <w:ind w:left="0"/>
        <w:rPr>
          <w:rFonts w:ascii="Arial" w:hAnsi="Arial" w:cs="Arial"/>
          <w:b/>
          <w:sz w:val="20"/>
          <w:szCs w:val="20"/>
        </w:rPr>
      </w:pPr>
    </w:p>
    <w:p w14:paraId="69607F31" w14:textId="3249C410" w:rsidR="008803CA" w:rsidRPr="0022335A" w:rsidRDefault="008803CA" w:rsidP="008803CA">
      <w:pPr>
        <w:tabs>
          <w:tab w:val="left" w:pos="-720"/>
        </w:tabs>
        <w:suppressAutoHyphens/>
        <w:ind w:right="356"/>
        <w:jc w:val="both"/>
        <w:rPr>
          <w:rFonts w:cs="Arial"/>
          <w:i/>
          <w:sz w:val="16"/>
          <w:szCs w:val="16"/>
        </w:rPr>
      </w:pPr>
      <w:r w:rsidRPr="0022335A">
        <w:rPr>
          <w:rFonts w:cs="Arial"/>
          <w:i/>
          <w:sz w:val="16"/>
          <w:szCs w:val="16"/>
        </w:rPr>
        <w:t>Revisó y aprobó:</w:t>
      </w:r>
      <w:r w:rsidRPr="0022335A">
        <w:rPr>
          <w:rFonts w:cs="Arial"/>
          <w:i/>
          <w:sz w:val="16"/>
          <w:szCs w:val="16"/>
        </w:rPr>
        <w:tab/>
        <w:t>Omar Alberto Barón Avendaño</w:t>
      </w:r>
    </w:p>
    <w:p w14:paraId="6441540C" w14:textId="5DE29F48" w:rsidR="008803CA" w:rsidRPr="0022335A" w:rsidRDefault="008803CA" w:rsidP="008803CA">
      <w:pPr>
        <w:tabs>
          <w:tab w:val="left" w:pos="-720"/>
        </w:tabs>
        <w:suppressAutoHyphens/>
        <w:ind w:right="356"/>
        <w:jc w:val="both"/>
        <w:rPr>
          <w:rFonts w:cs="Arial"/>
          <w:i/>
          <w:sz w:val="16"/>
          <w:szCs w:val="16"/>
        </w:rPr>
      </w:pPr>
      <w:r w:rsidRPr="0022335A">
        <w:rPr>
          <w:rFonts w:cs="Arial"/>
          <w:i/>
          <w:sz w:val="16"/>
          <w:szCs w:val="16"/>
        </w:rPr>
        <w:tab/>
      </w:r>
      <w:r w:rsidRPr="0022335A">
        <w:rPr>
          <w:rFonts w:cs="Arial"/>
          <w:i/>
          <w:sz w:val="16"/>
          <w:szCs w:val="16"/>
        </w:rPr>
        <w:tab/>
        <w:t>Doris Esther Prieto Romero</w:t>
      </w:r>
    </w:p>
    <w:p w14:paraId="3942410D" w14:textId="15F88FB2" w:rsidR="008803CA" w:rsidRPr="0022335A" w:rsidRDefault="008803CA" w:rsidP="008803CA">
      <w:pPr>
        <w:tabs>
          <w:tab w:val="left" w:pos="-720"/>
        </w:tabs>
        <w:suppressAutoHyphens/>
        <w:ind w:right="356"/>
        <w:jc w:val="both"/>
        <w:rPr>
          <w:rFonts w:cs="Arial"/>
          <w:i/>
          <w:sz w:val="16"/>
          <w:szCs w:val="16"/>
        </w:rPr>
      </w:pPr>
      <w:r w:rsidRPr="0022335A">
        <w:rPr>
          <w:rFonts w:cs="Arial"/>
          <w:i/>
          <w:sz w:val="16"/>
          <w:szCs w:val="16"/>
        </w:rPr>
        <w:tab/>
      </w:r>
      <w:r w:rsidRPr="0022335A">
        <w:rPr>
          <w:rFonts w:cs="Arial"/>
          <w:i/>
          <w:sz w:val="16"/>
          <w:szCs w:val="16"/>
        </w:rPr>
        <w:tab/>
      </w:r>
      <w:r>
        <w:rPr>
          <w:rFonts w:cs="Arial"/>
          <w:i/>
          <w:sz w:val="16"/>
          <w:szCs w:val="16"/>
        </w:rPr>
        <w:t>Martha Lucía Velásquez Prada</w:t>
      </w:r>
    </w:p>
    <w:p w14:paraId="3DC670C1" w14:textId="77777777" w:rsidR="008803CA" w:rsidRPr="0022335A" w:rsidRDefault="008803CA" w:rsidP="008803CA">
      <w:pPr>
        <w:jc w:val="both"/>
        <w:rPr>
          <w:rFonts w:cs="Arial"/>
          <w:b/>
          <w:bCs/>
          <w:sz w:val="16"/>
          <w:szCs w:val="16"/>
          <w:lang w:val="es-419"/>
        </w:rPr>
      </w:pPr>
      <w:r w:rsidRPr="0022335A">
        <w:rPr>
          <w:rFonts w:cs="Arial"/>
          <w:i/>
          <w:sz w:val="16"/>
          <w:szCs w:val="16"/>
        </w:rPr>
        <w:t>Elaboró:</w:t>
      </w:r>
      <w:r w:rsidRPr="0022335A">
        <w:rPr>
          <w:rFonts w:cs="Arial"/>
          <w:i/>
          <w:sz w:val="16"/>
          <w:szCs w:val="16"/>
        </w:rPr>
        <w:tab/>
      </w:r>
      <w:r w:rsidRPr="0022335A">
        <w:rPr>
          <w:rFonts w:cs="Arial"/>
          <w:i/>
          <w:sz w:val="16"/>
          <w:szCs w:val="16"/>
        </w:rPr>
        <w:tab/>
        <w:t>Deisy Carolina Barrero</w:t>
      </w:r>
    </w:p>
    <w:p w14:paraId="03C6D87E" w14:textId="77777777" w:rsidR="008803CA" w:rsidRPr="00540DF9" w:rsidRDefault="008803CA" w:rsidP="008803CA">
      <w:pPr>
        <w:pStyle w:val="Listavistosa-nfasis11"/>
        <w:ind w:left="0"/>
        <w:rPr>
          <w:rFonts w:ascii="Arial" w:hAnsi="Arial" w:cs="Arial"/>
          <w:b/>
          <w:sz w:val="20"/>
          <w:szCs w:val="20"/>
        </w:rPr>
      </w:pPr>
    </w:p>
    <w:sectPr w:rsidR="008803CA" w:rsidRPr="00540DF9" w:rsidSect="00696582">
      <w:headerReference w:type="default" r:id="rId8"/>
      <w:footerReference w:type="default" r:id="rId9"/>
      <w:headerReference w:type="first" r:id="rId10"/>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6E36" w14:textId="77777777" w:rsidR="00195F60" w:rsidRDefault="00195F60">
      <w:r>
        <w:separator/>
      </w:r>
    </w:p>
  </w:endnote>
  <w:endnote w:type="continuationSeparator" w:id="0">
    <w:p w14:paraId="4725EAE2" w14:textId="77777777" w:rsidR="00195F60" w:rsidRDefault="0019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624A"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17C08C26"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2FF0" w14:textId="77777777" w:rsidR="00195F60" w:rsidRDefault="00195F60">
      <w:r>
        <w:separator/>
      </w:r>
    </w:p>
  </w:footnote>
  <w:footnote w:type="continuationSeparator" w:id="0">
    <w:p w14:paraId="0457984C" w14:textId="77777777" w:rsidR="00195F60" w:rsidRDefault="0019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1C66"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639A5200" w14:textId="77777777" w:rsidTr="001447C1">
      <w:tc>
        <w:tcPr>
          <w:tcW w:w="4253" w:type="dxa"/>
          <w:shd w:val="clear" w:color="auto" w:fill="auto"/>
        </w:tcPr>
        <w:p w14:paraId="12B94EAC" w14:textId="329D71A5" w:rsidR="00696582" w:rsidRDefault="007477FF" w:rsidP="001447C1">
          <w:pPr>
            <w:pStyle w:val="Encabezado"/>
          </w:pPr>
          <w:r>
            <w:rPr>
              <w:noProof/>
              <w:lang w:val="es-ES_tradnl" w:eastAsia="es-ES_tradnl"/>
            </w:rPr>
            <w:drawing>
              <wp:inline distT="0" distB="0" distL="0" distR="0" wp14:anchorId="4D515094" wp14:editId="21B1873A">
                <wp:extent cx="2562225"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6A0BD940"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3248BD77"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05E5FAD3" w14:textId="77777777" w:rsidTr="00FD3D04">
      <w:tc>
        <w:tcPr>
          <w:tcW w:w="4253" w:type="dxa"/>
          <w:shd w:val="clear" w:color="auto" w:fill="auto"/>
        </w:tcPr>
        <w:p w14:paraId="6EACE90C" w14:textId="383818ED" w:rsidR="00350767" w:rsidRDefault="007477FF">
          <w:pPr>
            <w:pStyle w:val="Encabezado"/>
          </w:pPr>
          <w:r>
            <w:rPr>
              <w:noProof/>
              <w:lang w:val="es-ES_tradnl" w:eastAsia="es-ES_tradnl"/>
            </w:rPr>
            <w:drawing>
              <wp:inline distT="0" distB="0" distL="0" distR="0" wp14:anchorId="438D1030" wp14:editId="7330F51C">
                <wp:extent cx="2562225" cy="542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542925"/>
                        </a:xfrm>
                        <a:prstGeom prst="rect">
                          <a:avLst/>
                        </a:prstGeom>
                        <a:noFill/>
                        <a:ln>
                          <a:noFill/>
                        </a:ln>
                      </pic:spPr>
                    </pic:pic>
                  </a:graphicData>
                </a:graphic>
              </wp:inline>
            </w:drawing>
          </w:r>
        </w:p>
      </w:tc>
      <w:tc>
        <w:tcPr>
          <w:tcW w:w="6545" w:type="dxa"/>
          <w:shd w:val="clear" w:color="auto" w:fill="auto"/>
          <w:vAlign w:val="center"/>
        </w:tcPr>
        <w:p w14:paraId="7A756D10"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62D41571"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1F71"/>
    <w:multiLevelType w:val="hybridMultilevel"/>
    <w:tmpl w:val="E22093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937E34"/>
    <w:multiLevelType w:val="hybridMultilevel"/>
    <w:tmpl w:val="EBC2F2E6"/>
    <w:lvl w:ilvl="0" w:tplc="D3C24856">
      <w:numFmt w:val="bullet"/>
      <w:lvlText w:val="-"/>
      <w:lvlJc w:val="left"/>
      <w:pPr>
        <w:ind w:left="360" w:hanging="360"/>
      </w:pPr>
      <w:rPr>
        <w:rFonts w:ascii="Arial" w:eastAsia="Arial Unicode MS" w:hAnsi="Arial" w:cs="Arial" w:hint="default"/>
      </w:rPr>
    </w:lvl>
    <w:lvl w:ilvl="1" w:tplc="240A000D">
      <w:start w:val="1"/>
      <w:numFmt w:val="bullet"/>
      <w:lvlText w:val=""/>
      <w:lvlJc w:val="left"/>
      <w:pPr>
        <w:ind w:left="1080" w:hanging="360"/>
      </w:pPr>
      <w:rPr>
        <w:rFonts w:ascii="Wingdings" w:hAnsi="Wingding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15:restartNumberingAfterBreak="0">
    <w:nsid w:val="0DE945B7"/>
    <w:multiLevelType w:val="hybridMultilevel"/>
    <w:tmpl w:val="9BA8E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7F2FD2"/>
    <w:multiLevelType w:val="hybridMultilevel"/>
    <w:tmpl w:val="23780C54"/>
    <w:lvl w:ilvl="0" w:tplc="7122AF36">
      <w:start w:val="1"/>
      <w:numFmt w:val="decimal"/>
      <w:lvlText w:val="%1."/>
      <w:lvlJc w:val="left"/>
      <w:pPr>
        <w:ind w:left="720" w:hanging="360"/>
      </w:pPr>
      <w:rPr>
        <w:rFonts w:ascii="Arial" w:eastAsia="Calibri" w:hAnsi="Arial" w:cs="Aria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8D43E1"/>
    <w:multiLevelType w:val="hybridMultilevel"/>
    <w:tmpl w:val="3E3C0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0077F4"/>
    <w:multiLevelType w:val="hybridMultilevel"/>
    <w:tmpl w:val="471ED7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B331E40"/>
    <w:multiLevelType w:val="hybridMultilevel"/>
    <w:tmpl w:val="7EB8E8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5D5"/>
    <w:multiLevelType w:val="hybridMultilevel"/>
    <w:tmpl w:val="2752FB6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1F7F7418"/>
    <w:multiLevelType w:val="hybridMultilevel"/>
    <w:tmpl w:val="561034C0"/>
    <w:lvl w:ilvl="0" w:tplc="C688F99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CC3AAB"/>
    <w:multiLevelType w:val="hybridMultilevel"/>
    <w:tmpl w:val="C72A38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30D56"/>
    <w:multiLevelType w:val="hybridMultilevel"/>
    <w:tmpl w:val="B512F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7D6525"/>
    <w:multiLevelType w:val="hybridMultilevel"/>
    <w:tmpl w:val="14323D5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8D575C"/>
    <w:multiLevelType w:val="hybridMultilevel"/>
    <w:tmpl w:val="F5427976"/>
    <w:lvl w:ilvl="0" w:tplc="2FD68F2A">
      <w:start w:val="1"/>
      <w:numFmt w:val="decimal"/>
      <w:lvlText w:val="%1."/>
      <w:lvlJc w:val="left"/>
      <w:rPr>
        <w:rFonts w:ascii="Arial" w:hAnsi="Arial" w:cs="Arial" w:hint="default"/>
        <w:b/>
        <w:bCs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FC438A4"/>
    <w:multiLevelType w:val="hybridMultilevel"/>
    <w:tmpl w:val="CC544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17AA6"/>
    <w:multiLevelType w:val="hybridMultilevel"/>
    <w:tmpl w:val="78BE8B20"/>
    <w:lvl w:ilvl="0" w:tplc="D10EA2F8">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333F05"/>
    <w:multiLevelType w:val="hybridMultilevel"/>
    <w:tmpl w:val="DBDC35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96341FF"/>
    <w:multiLevelType w:val="multilevel"/>
    <w:tmpl w:val="078847B8"/>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7C7321"/>
    <w:multiLevelType w:val="hybridMultilevel"/>
    <w:tmpl w:val="EF704034"/>
    <w:lvl w:ilvl="0" w:tplc="3AAE91A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F32023"/>
    <w:multiLevelType w:val="hybridMultilevel"/>
    <w:tmpl w:val="E91C692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0A3792D"/>
    <w:multiLevelType w:val="hybridMultilevel"/>
    <w:tmpl w:val="1150A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127B63"/>
    <w:multiLevelType w:val="hybridMultilevel"/>
    <w:tmpl w:val="7BC80F2C"/>
    <w:lvl w:ilvl="0" w:tplc="FFFFFFFF">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FE38A9"/>
    <w:multiLevelType w:val="hybridMultilevel"/>
    <w:tmpl w:val="B6C65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D811299"/>
    <w:multiLevelType w:val="hybridMultilevel"/>
    <w:tmpl w:val="4CAE1F3E"/>
    <w:lvl w:ilvl="0" w:tplc="C5F83004">
      <w:start w:val="1440"/>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820AD0"/>
    <w:multiLevelType w:val="hybridMultilevel"/>
    <w:tmpl w:val="44084084"/>
    <w:lvl w:ilvl="0" w:tplc="240A000D">
      <w:start w:val="1"/>
      <w:numFmt w:val="bullet"/>
      <w:lvlText w:val=""/>
      <w:lvlJc w:val="left"/>
      <w:pPr>
        <w:ind w:left="-1020" w:hanging="360"/>
      </w:pPr>
      <w:rPr>
        <w:rFonts w:ascii="Wingdings" w:hAnsi="Wingdings" w:hint="default"/>
      </w:rPr>
    </w:lvl>
    <w:lvl w:ilvl="1" w:tplc="240A0003" w:tentative="1">
      <w:start w:val="1"/>
      <w:numFmt w:val="bullet"/>
      <w:lvlText w:val="o"/>
      <w:lvlJc w:val="left"/>
      <w:pPr>
        <w:ind w:left="-300" w:hanging="360"/>
      </w:pPr>
      <w:rPr>
        <w:rFonts w:ascii="Courier New" w:hAnsi="Courier New" w:cs="Courier New" w:hint="default"/>
      </w:rPr>
    </w:lvl>
    <w:lvl w:ilvl="2" w:tplc="240A0005" w:tentative="1">
      <w:start w:val="1"/>
      <w:numFmt w:val="bullet"/>
      <w:lvlText w:val=""/>
      <w:lvlJc w:val="left"/>
      <w:pPr>
        <w:ind w:left="420" w:hanging="360"/>
      </w:pPr>
      <w:rPr>
        <w:rFonts w:ascii="Wingdings" w:hAnsi="Wingdings" w:hint="default"/>
      </w:rPr>
    </w:lvl>
    <w:lvl w:ilvl="3" w:tplc="240A0001" w:tentative="1">
      <w:start w:val="1"/>
      <w:numFmt w:val="bullet"/>
      <w:lvlText w:val=""/>
      <w:lvlJc w:val="left"/>
      <w:pPr>
        <w:ind w:left="1140" w:hanging="360"/>
      </w:pPr>
      <w:rPr>
        <w:rFonts w:ascii="Symbol" w:hAnsi="Symbol" w:hint="default"/>
      </w:rPr>
    </w:lvl>
    <w:lvl w:ilvl="4" w:tplc="240A0003" w:tentative="1">
      <w:start w:val="1"/>
      <w:numFmt w:val="bullet"/>
      <w:lvlText w:val="o"/>
      <w:lvlJc w:val="left"/>
      <w:pPr>
        <w:ind w:left="1860" w:hanging="360"/>
      </w:pPr>
      <w:rPr>
        <w:rFonts w:ascii="Courier New" w:hAnsi="Courier New" w:cs="Courier New" w:hint="default"/>
      </w:rPr>
    </w:lvl>
    <w:lvl w:ilvl="5" w:tplc="240A0005" w:tentative="1">
      <w:start w:val="1"/>
      <w:numFmt w:val="bullet"/>
      <w:lvlText w:val=""/>
      <w:lvlJc w:val="left"/>
      <w:pPr>
        <w:ind w:left="2580" w:hanging="360"/>
      </w:pPr>
      <w:rPr>
        <w:rFonts w:ascii="Wingdings" w:hAnsi="Wingdings" w:hint="default"/>
      </w:rPr>
    </w:lvl>
    <w:lvl w:ilvl="6" w:tplc="240A0001" w:tentative="1">
      <w:start w:val="1"/>
      <w:numFmt w:val="bullet"/>
      <w:lvlText w:val=""/>
      <w:lvlJc w:val="left"/>
      <w:pPr>
        <w:ind w:left="3300" w:hanging="360"/>
      </w:pPr>
      <w:rPr>
        <w:rFonts w:ascii="Symbol" w:hAnsi="Symbol" w:hint="default"/>
      </w:rPr>
    </w:lvl>
    <w:lvl w:ilvl="7" w:tplc="240A0003" w:tentative="1">
      <w:start w:val="1"/>
      <w:numFmt w:val="bullet"/>
      <w:lvlText w:val="o"/>
      <w:lvlJc w:val="left"/>
      <w:pPr>
        <w:ind w:left="4020" w:hanging="360"/>
      </w:pPr>
      <w:rPr>
        <w:rFonts w:ascii="Courier New" w:hAnsi="Courier New" w:cs="Courier New" w:hint="default"/>
      </w:rPr>
    </w:lvl>
    <w:lvl w:ilvl="8" w:tplc="240A0005" w:tentative="1">
      <w:start w:val="1"/>
      <w:numFmt w:val="bullet"/>
      <w:lvlText w:val=""/>
      <w:lvlJc w:val="left"/>
      <w:pPr>
        <w:ind w:left="4740" w:hanging="360"/>
      </w:pPr>
      <w:rPr>
        <w:rFonts w:ascii="Wingdings" w:hAnsi="Wingdings" w:hint="default"/>
      </w:rPr>
    </w:lvl>
  </w:abstractNum>
  <w:abstractNum w:abstractNumId="25" w15:restartNumberingAfterBreak="0">
    <w:nsid w:val="55612A01"/>
    <w:multiLevelType w:val="hybridMultilevel"/>
    <w:tmpl w:val="516C2342"/>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56C63FAB"/>
    <w:multiLevelType w:val="hybridMultilevel"/>
    <w:tmpl w:val="4B266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88006D"/>
    <w:multiLevelType w:val="hybridMultilevel"/>
    <w:tmpl w:val="1F986C7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99274BB"/>
    <w:multiLevelType w:val="hybridMultilevel"/>
    <w:tmpl w:val="19B6D6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AC27BD1"/>
    <w:multiLevelType w:val="hybridMultilevel"/>
    <w:tmpl w:val="B00A2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D4163EC"/>
    <w:multiLevelType w:val="hybridMultilevel"/>
    <w:tmpl w:val="2B166F1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5F423FF4"/>
    <w:multiLevelType w:val="multilevel"/>
    <w:tmpl w:val="60C2505A"/>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682FB7"/>
    <w:multiLevelType w:val="hybridMultilevel"/>
    <w:tmpl w:val="6EB8E7D0"/>
    <w:lvl w:ilvl="0" w:tplc="0C0A000F">
      <w:start w:val="1"/>
      <w:numFmt w:val="decimal"/>
      <w:lvlText w:val="%1."/>
      <w:lvlJc w:val="left"/>
      <w:pPr>
        <w:tabs>
          <w:tab w:val="num" w:pos="720"/>
        </w:tabs>
        <w:ind w:left="720" w:hanging="36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A438E4"/>
    <w:multiLevelType w:val="hybridMultilevel"/>
    <w:tmpl w:val="1602CE3A"/>
    <w:lvl w:ilvl="0" w:tplc="BB08A936">
      <w:numFmt w:val="bullet"/>
      <w:lvlText w:val="-"/>
      <w:lvlJc w:val="left"/>
      <w:pPr>
        <w:ind w:left="322" w:hanging="360"/>
      </w:pPr>
      <w:rPr>
        <w:rFonts w:ascii="Arial" w:eastAsia="Times" w:hAnsi="Arial" w:cs="Arial" w:hint="default"/>
      </w:rPr>
    </w:lvl>
    <w:lvl w:ilvl="1" w:tplc="240A0003" w:tentative="1">
      <w:start w:val="1"/>
      <w:numFmt w:val="bullet"/>
      <w:lvlText w:val="o"/>
      <w:lvlJc w:val="left"/>
      <w:pPr>
        <w:ind w:left="1042" w:hanging="360"/>
      </w:pPr>
      <w:rPr>
        <w:rFonts w:ascii="Courier New" w:hAnsi="Courier New" w:cs="Courier New" w:hint="default"/>
      </w:rPr>
    </w:lvl>
    <w:lvl w:ilvl="2" w:tplc="240A0005" w:tentative="1">
      <w:start w:val="1"/>
      <w:numFmt w:val="bullet"/>
      <w:lvlText w:val=""/>
      <w:lvlJc w:val="left"/>
      <w:pPr>
        <w:ind w:left="1762" w:hanging="360"/>
      </w:pPr>
      <w:rPr>
        <w:rFonts w:ascii="Wingdings" w:hAnsi="Wingdings" w:hint="default"/>
      </w:rPr>
    </w:lvl>
    <w:lvl w:ilvl="3" w:tplc="240A0001" w:tentative="1">
      <w:start w:val="1"/>
      <w:numFmt w:val="bullet"/>
      <w:lvlText w:val=""/>
      <w:lvlJc w:val="left"/>
      <w:pPr>
        <w:ind w:left="2482" w:hanging="360"/>
      </w:pPr>
      <w:rPr>
        <w:rFonts w:ascii="Symbol" w:hAnsi="Symbol" w:hint="default"/>
      </w:rPr>
    </w:lvl>
    <w:lvl w:ilvl="4" w:tplc="240A0003" w:tentative="1">
      <w:start w:val="1"/>
      <w:numFmt w:val="bullet"/>
      <w:lvlText w:val="o"/>
      <w:lvlJc w:val="left"/>
      <w:pPr>
        <w:ind w:left="3202" w:hanging="360"/>
      </w:pPr>
      <w:rPr>
        <w:rFonts w:ascii="Courier New" w:hAnsi="Courier New" w:cs="Courier New" w:hint="default"/>
      </w:rPr>
    </w:lvl>
    <w:lvl w:ilvl="5" w:tplc="240A0005" w:tentative="1">
      <w:start w:val="1"/>
      <w:numFmt w:val="bullet"/>
      <w:lvlText w:val=""/>
      <w:lvlJc w:val="left"/>
      <w:pPr>
        <w:ind w:left="3922" w:hanging="360"/>
      </w:pPr>
      <w:rPr>
        <w:rFonts w:ascii="Wingdings" w:hAnsi="Wingdings" w:hint="default"/>
      </w:rPr>
    </w:lvl>
    <w:lvl w:ilvl="6" w:tplc="240A0001" w:tentative="1">
      <w:start w:val="1"/>
      <w:numFmt w:val="bullet"/>
      <w:lvlText w:val=""/>
      <w:lvlJc w:val="left"/>
      <w:pPr>
        <w:ind w:left="4642" w:hanging="360"/>
      </w:pPr>
      <w:rPr>
        <w:rFonts w:ascii="Symbol" w:hAnsi="Symbol" w:hint="default"/>
      </w:rPr>
    </w:lvl>
    <w:lvl w:ilvl="7" w:tplc="240A0003" w:tentative="1">
      <w:start w:val="1"/>
      <w:numFmt w:val="bullet"/>
      <w:lvlText w:val="o"/>
      <w:lvlJc w:val="left"/>
      <w:pPr>
        <w:ind w:left="5362" w:hanging="360"/>
      </w:pPr>
      <w:rPr>
        <w:rFonts w:ascii="Courier New" w:hAnsi="Courier New" w:cs="Courier New" w:hint="default"/>
      </w:rPr>
    </w:lvl>
    <w:lvl w:ilvl="8" w:tplc="240A0005" w:tentative="1">
      <w:start w:val="1"/>
      <w:numFmt w:val="bullet"/>
      <w:lvlText w:val=""/>
      <w:lvlJc w:val="left"/>
      <w:pPr>
        <w:ind w:left="6082" w:hanging="360"/>
      </w:pPr>
      <w:rPr>
        <w:rFonts w:ascii="Wingdings" w:hAnsi="Wingdings" w:hint="default"/>
      </w:rPr>
    </w:lvl>
  </w:abstractNum>
  <w:abstractNum w:abstractNumId="34" w15:restartNumberingAfterBreak="0">
    <w:nsid w:val="64573526"/>
    <w:multiLevelType w:val="hybridMultilevel"/>
    <w:tmpl w:val="665E973A"/>
    <w:lvl w:ilvl="0" w:tplc="2C08755A">
      <w:start w:val="1"/>
      <w:numFmt w:val="bullet"/>
      <w:lvlText w:val="•"/>
      <w:lvlJc w:val="left"/>
      <w:pPr>
        <w:tabs>
          <w:tab w:val="num" w:pos="999"/>
        </w:tabs>
        <w:ind w:left="999" w:hanging="360"/>
      </w:pPr>
      <w:rPr>
        <w:rFonts w:ascii="Arial" w:hAnsi="Arial" w:hint="default"/>
      </w:rPr>
    </w:lvl>
    <w:lvl w:ilvl="1" w:tplc="5AD0665A" w:tentative="1">
      <w:start w:val="1"/>
      <w:numFmt w:val="bullet"/>
      <w:lvlText w:val="•"/>
      <w:lvlJc w:val="left"/>
      <w:pPr>
        <w:tabs>
          <w:tab w:val="num" w:pos="1719"/>
        </w:tabs>
        <w:ind w:left="1719" w:hanging="360"/>
      </w:pPr>
      <w:rPr>
        <w:rFonts w:ascii="Arial" w:hAnsi="Arial" w:hint="default"/>
      </w:rPr>
    </w:lvl>
    <w:lvl w:ilvl="2" w:tplc="2AD44A04" w:tentative="1">
      <w:start w:val="1"/>
      <w:numFmt w:val="bullet"/>
      <w:lvlText w:val="•"/>
      <w:lvlJc w:val="left"/>
      <w:pPr>
        <w:tabs>
          <w:tab w:val="num" w:pos="2439"/>
        </w:tabs>
        <w:ind w:left="2439" w:hanging="360"/>
      </w:pPr>
      <w:rPr>
        <w:rFonts w:ascii="Arial" w:hAnsi="Arial" w:hint="default"/>
      </w:rPr>
    </w:lvl>
    <w:lvl w:ilvl="3" w:tplc="07082974" w:tentative="1">
      <w:start w:val="1"/>
      <w:numFmt w:val="bullet"/>
      <w:lvlText w:val="•"/>
      <w:lvlJc w:val="left"/>
      <w:pPr>
        <w:tabs>
          <w:tab w:val="num" w:pos="3159"/>
        </w:tabs>
        <w:ind w:left="3159" w:hanging="360"/>
      </w:pPr>
      <w:rPr>
        <w:rFonts w:ascii="Arial" w:hAnsi="Arial" w:hint="default"/>
      </w:rPr>
    </w:lvl>
    <w:lvl w:ilvl="4" w:tplc="CD76DC7C" w:tentative="1">
      <w:start w:val="1"/>
      <w:numFmt w:val="bullet"/>
      <w:lvlText w:val="•"/>
      <w:lvlJc w:val="left"/>
      <w:pPr>
        <w:tabs>
          <w:tab w:val="num" w:pos="3879"/>
        </w:tabs>
        <w:ind w:left="3879" w:hanging="360"/>
      </w:pPr>
      <w:rPr>
        <w:rFonts w:ascii="Arial" w:hAnsi="Arial" w:hint="default"/>
      </w:rPr>
    </w:lvl>
    <w:lvl w:ilvl="5" w:tplc="3D28A6E6" w:tentative="1">
      <w:start w:val="1"/>
      <w:numFmt w:val="bullet"/>
      <w:lvlText w:val="•"/>
      <w:lvlJc w:val="left"/>
      <w:pPr>
        <w:tabs>
          <w:tab w:val="num" w:pos="4599"/>
        </w:tabs>
        <w:ind w:left="4599" w:hanging="360"/>
      </w:pPr>
      <w:rPr>
        <w:rFonts w:ascii="Arial" w:hAnsi="Arial" w:hint="default"/>
      </w:rPr>
    </w:lvl>
    <w:lvl w:ilvl="6" w:tplc="590A4E18" w:tentative="1">
      <w:start w:val="1"/>
      <w:numFmt w:val="bullet"/>
      <w:lvlText w:val="•"/>
      <w:lvlJc w:val="left"/>
      <w:pPr>
        <w:tabs>
          <w:tab w:val="num" w:pos="5319"/>
        </w:tabs>
        <w:ind w:left="5319" w:hanging="360"/>
      </w:pPr>
      <w:rPr>
        <w:rFonts w:ascii="Arial" w:hAnsi="Arial" w:hint="default"/>
      </w:rPr>
    </w:lvl>
    <w:lvl w:ilvl="7" w:tplc="56BA76D8" w:tentative="1">
      <w:start w:val="1"/>
      <w:numFmt w:val="bullet"/>
      <w:lvlText w:val="•"/>
      <w:lvlJc w:val="left"/>
      <w:pPr>
        <w:tabs>
          <w:tab w:val="num" w:pos="6039"/>
        </w:tabs>
        <w:ind w:left="6039" w:hanging="360"/>
      </w:pPr>
      <w:rPr>
        <w:rFonts w:ascii="Arial" w:hAnsi="Arial" w:hint="default"/>
      </w:rPr>
    </w:lvl>
    <w:lvl w:ilvl="8" w:tplc="D56AD64E" w:tentative="1">
      <w:start w:val="1"/>
      <w:numFmt w:val="bullet"/>
      <w:lvlText w:val="•"/>
      <w:lvlJc w:val="left"/>
      <w:pPr>
        <w:tabs>
          <w:tab w:val="num" w:pos="6759"/>
        </w:tabs>
        <w:ind w:left="6759" w:hanging="360"/>
      </w:pPr>
      <w:rPr>
        <w:rFonts w:ascii="Arial" w:hAnsi="Arial" w:hint="default"/>
      </w:rPr>
    </w:lvl>
  </w:abstractNum>
  <w:abstractNum w:abstractNumId="35" w15:restartNumberingAfterBreak="0">
    <w:nsid w:val="65C86972"/>
    <w:multiLevelType w:val="hybridMultilevel"/>
    <w:tmpl w:val="EF60E5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2B19CB"/>
    <w:multiLevelType w:val="hybridMultilevel"/>
    <w:tmpl w:val="359E384C"/>
    <w:lvl w:ilvl="0" w:tplc="48043108">
      <w:start w:val="1"/>
      <w:numFmt w:val="decimal"/>
      <w:lvlText w:val="%1."/>
      <w:lvlJc w:val="left"/>
      <w:pPr>
        <w:ind w:left="360" w:hanging="360"/>
      </w:pPr>
      <w:rPr>
        <w:strike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7" w15:restartNumberingAfterBreak="0">
    <w:nsid w:val="6AFA48A5"/>
    <w:multiLevelType w:val="hybridMultilevel"/>
    <w:tmpl w:val="3E2221D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547E6"/>
    <w:multiLevelType w:val="hybridMultilevel"/>
    <w:tmpl w:val="9F3404D0"/>
    <w:lvl w:ilvl="0" w:tplc="89D2AEF6">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FA64E9"/>
    <w:multiLevelType w:val="hybridMultilevel"/>
    <w:tmpl w:val="70E22AB2"/>
    <w:lvl w:ilvl="0" w:tplc="645EFEFA">
      <w:start w:val="1"/>
      <w:numFmt w:val="upperRoman"/>
      <w:lvlText w:val="%1."/>
      <w:lvlJc w:val="left"/>
      <w:pPr>
        <w:tabs>
          <w:tab w:val="num" w:pos="1080"/>
        </w:tabs>
        <w:ind w:left="1080" w:hanging="720"/>
      </w:pPr>
      <w:rPr>
        <w:rFonts w:cs="Times New Roman" w:hint="default"/>
        <w:color w:val="auto"/>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4639D"/>
    <w:multiLevelType w:val="hybridMultilevel"/>
    <w:tmpl w:val="F692C1A2"/>
    <w:lvl w:ilvl="0" w:tplc="240A000D">
      <w:start w:val="1"/>
      <w:numFmt w:val="bullet"/>
      <w:lvlText w:val=""/>
      <w:lvlJc w:val="left"/>
      <w:pPr>
        <w:ind w:left="1500" w:hanging="360"/>
      </w:pPr>
      <w:rPr>
        <w:rFonts w:ascii="Wingdings" w:hAnsi="Wingdings" w:hint="default"/>
      </w:rPr>
    </w:lvl>
    <w:lvl w:ilvl="1" w:tplc="240A0003">
      <w:start w:val="1"/>
      <w:numFmt w:val="bullet"/>
      <w:lvlText w:val="o"/>
      <w:lvlJc w:val="left"/>
      <w:pPr>
        <w:ind w:left="2220" w:hanging="360"/>
      </w:pPr>
      <w:rPr>
        <w:rFonts w:ascii="Courier New" w:hAnsi="Courier New" w:cs="Courier New" w:hint="default"/>
      </w:rPr>
    </w:lvl>
    <w:lvl w:ilvl="2" w:tplc="240A0005">
      <w:start w:val="1"/>
      <w:numFmt w:val="bullet"/>
      <w:lvlText w:val=""/>
      <w:lvlJc w:val="left"/>
      <w:pPr>
        <w:ind w:left="2940" w:hanging="360"/>
      </w:pPr>
      <w:rPr>
        <w:rFonts w:ascii="Wingdings" w:hAnsi="Wingdings" w:hint="default"/>
      </w:rPr>
    </w:lvl>
    <w:lvl w:ilvl="3" w:tplc="240A0001">
      <w:start w:val="1"/>
      <w:numFmt w:val="bullet"/>
      <w:lvlText w:val=""/>
      <w:lvlJc w:val="left"/>
      <w:pPr>
        <w:ind w:left="3660" w:hanging="360"/>
      </w:pPr>
      <w:rPr>
        <w:rFonts w:ascii="Symbol" w:hAnsi="Symbol" w:hint="default"/>
      </w:rPr>
    </w:lvl>
    <w:lvl w:ilvl="4" w:tplc="240A0003">
      <w:start w:val="1"/>
      <w:numFmt w:val="bullet"/>
      <w:lvlText w:val="o"/>
      <w:lvlJc w:val="left"/>
      <w:pPr>
        <w:ind w:left="4380" w:hanging="360"/>
      </w:pPr>
      <w:rPr>
        <w:rFonts w:ascii="Courier New" w:hAnsi="Courier New" w:cs="Courier New" w:hint="default"/>
      </w:rPr>
    </w:lvl>
    <w:lvl w:ilvl="5" w:tplc="240A0005">
      <w:start w:val="1"/>
      <w:numFmt w:val="bullet"/>
      <w:lvlText w:val=""/>
      <w:lvlJc w:val="left"/>
      <w:pPr>
        <w:ind w:left="5100" w:hanging="360"/>
      </w:pPr>
      <w:rPr>
        <w:rFonts w:ascii="Wingdings" w:hAnsi="Wingdings" w:hint="default"/>
      </w:rPr>
    </w:lvl>
    <w:lvl w:ilvl="6" w:tplc="240A0001">
      <w:start w:val="1"/>
      <w:numFmt w:val="bullet"/>
      <w:lvlText w:val=""/>
      <w:lvlJc w:val="left"/>
      <w:pPr>
        <w:ind w:left="5820" w:hanging="360"/>
      </w:pPr>
      <w:rPr>
        <w:rFonts w:ascii="Symbol" w:hAnsi="Symbol" w:hint="default"/>
      </w:rPr>
    </w:lvl>
    <w:lvl w:ilvl="7" w:tplc="240A0003">
      <w:start w:val="1"/>
      <w:numFmt w:val="bullet"/>
      <w:lvlText w:val="o"/>
      <w:lvlJc w:val="left"/>
      <w:pPr>
        <w:ind w:left="6540" w:hanging="360"/>
      </w:pPr>
      <w:rPr>
        <w:rFonts w:ascii="Courier New" w:hAnsi="Courier New" w:cs="Courier New" w:hint="default"/>
      </w:rPr>
    </w:lvl>
    <w:lvl w:ilvl="8" w:tplc="240A0005">
      <w:start w:val="1"/>
      <w:numFmt w:val="bullet"/>
      <w:lvlText w:val=""/>
      <w:lvlJc w:val="left"/>
      <w:pPr>
        <w:ind w:left="7260" w:hanging="360"/>
      </w:pPr>
      <w:rPr>
        <w:rFonts w:ascii="Wingdings" w:hAnsi="Wingdings" w:hint="default"/>
      </w:rPr>
    </w:lvl>
  </w:abstractNum>
  <w:abstractNum w:abstractNumId="41" w15:restartNumberingAfterBreak="0">
    <w:nsid w:val="72044BA6"/>
    <w:multiLevelType w:val="hybridMultilevel"/>
    <w:tmpl w:val="07EEA1E4"/>
    <w:lvl w:ilvl="0" w:tplc="FEE661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A7813B2"/>
    <w:multiLevelType w:val="hybridMultilevel"/>
    <w:tmpl w:val="C8E461B0"/>
    <w:lvl w:ilvl="0" w:tplc="A26EE73E">
      <w:numFmt w:val="bullet"/>
      <w:lvlText w:val="-"/>
      <w:lvlJc w:val="left"/>
      <w:pPr>
        <w:ind w:left="720" w:hanging="360"/>
      </w:pPr>
      <w:rPr>
        <w:rFonts w:ascii="Calibri" w:eastAsia="Calibri" w:hAnsi="Calibri" w:cs="Calibri" w:hint="default"/>
        <w:sz w:val="24"/>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7"/>
  </w:num>
  <w:num w:numId="4">
    <w:abstractNumId w:val="8"/>
  </w:num>
  <w:num w:numId="5">
    <w:abstractNumId w:val="16"/>
  </w:num>
  <w:num w:numId="6">
    <w:abstractNumId w:val="31"/>
  </w:num>
  <w:num w:numId="7">
    <w:abstractNumId w:val="9"/>
  </w:num>
  <w:num w:numId="8">
    <w:abstractNumId w:val="17"/>
  </w:num>
  <w:num w:numId="9">
    <w:abstractNumId w:val="6"/>
  </w:num>
  <w:num w:numId="10">
    <w:abstractNumId w:val="21"/>
  </w:num>
  <w:num w:numId="11">
    <w:abstractNumId w:val="13"/>
  </w:num>
  <w:num w:numId="12">
    <w:abstractNumId w:val="32"/>
  </w:num>
  <w:num w:numId="13">
    <w:abstractNumId w:val="38"/>
  </w:num>
  <w:num w:numId="14">
    <w:abstractNumId w:val="39"/>
  </w:num>
  <w:num w:numId="15">
    <w:abstractNumId w:val="1"/>
  </w:num>
  <w:num w:numId="16">
    <w:abstractNumId w:val="22"/>
  </w:num>
  <w:num w:numId="17">
    <w:abstractNumId w:val="4"/>
  </w:num>
  <w:num w:numId="18">
    <w:abstractNumId w:val="24"/>
  </w:num>
  <w:num w:numId="19">
    <w:abstractNumId w:val="27"/>
  </w:num>
  <w:num w:numId="20">
    <w:abstractNumId w:val="0"/>
  </w:num>
  <w:num w:numId="21">
    <w:abstractNumId w:val="10"/>
  </w:num>
  <w:num w:numId="22">
    <w:abstractNumId w:val="1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1"/>
  </w:num>
  <w:num w:numId="26">
    <w:abstractNumId w:val="29"/>
  </w:num>
  <w:num w:numId="27">
    <w:abstractNumId w:val="26"/>
  </w:num>
  <w:num w:numId="28">
    <w:abstractNumId w:val="40"/>
  </w:num>
  <w:num w:numId="29">
    <w:abstractNumId w:val="1"/>
  </w:num>
  <w:num w:numId="30">
    <w:abstractNumId w:val="42"/>
  </w:num>
  <w:num w:numId="31">
    <w:abstractNumId w:val="23"/>
  </w:num>
  <w:num w:numId="32">
    <w:abstractNumId w:val="35"/>
  </w:num>
  <w:num w:numId="33">
    <w:abstractNumId w:val="25"/>
  </w:num>
  <w:num w:numId="34">
    <w:abstractNumId w:val="34"/>
  </w:num>
  <w:num w:numId="35">
    <w:abstractNumId w:val="14"/>
  </w:num>
  <w:num w:numId="36">
    <w:abstractNumId w:val="5"/>
  </w:num>
  <w:num w:numId="37">
    <w:abstractNumId w:val="2"/>
  </w:num>
  <w:num w:numId="38">
    <w:abstractNumId w:val="28"/>
  </w:num>
  <w:num w:numId="39">
    <w:abstractNumId w:val="33"/>
  </w:num>
  <w:num w:numId="40">
    <w:abstractNumId w:val="15"/>
  </w:num>
  <w:num w:numId="41">
    <w:abstractNumId w:val="41"/>
  </w:num>
  <w:num w:numId="42">
    <w:abstractNumId w:val="18"/>
  </w:num>
  <w:num w:numId="43">
    <w:abstractNumId w:val="3"/>
  </w:num>
  <w:num w:numId="44">
    <w:abstractNumId w:val="1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011B"/>
    <w:rsid w:val="00003D24"/>
    <w:rsid w:val="00006F83"/>
    <w:rsid w:val="00007F07"/>
    <w:rsid w:val="00013C42"/>
    <w:rsid w:val="00014D67"/>
    <w:rsid w:val="00016A94"/>
    <w:rsid w:val="00021FCC"/>
    <w:rsid w:val="00024F34"/>
    <w:rsid w:val="0002546A"/>
    <w:rsid w:val="00032CBF"/>
    <w:rsid w:val="00036E32"/>
    <w:rsid w:val="0004205E"/>
    <w:rsid w:val="00043257"/>
    <w:rsid w:val="00047A6E"/>
    <w:rsid w:val="00050524"/>
    <w:rsid w:val="000562EE"/>
    <w:rsid w:val="00066463"/>
    <w:rsid w:val="0007636F"/>
    <w:rsid w:val="00081CEE"/>
    <w:rsid w:val="00084B49"/>
    <w:rsid w:val="0008584C"/>
    <w:rsid w:val="00086656"/>
    <w:rsid w:val="00086B16"/>
    <w:rsid w:val="00092AAC"/>
    <w:rsid w:val="00092C0A"/>
    <w:rsid w:val="00094D9F"/>
    <w:rsid w:val="000A35DA"/>
    <w:rsid w:val="000A3E34"/>
    <w:rsid w:val="000A4667"/>
    <w:rsid w:val="000B2496"/>
    <w:rsid w:val="000B30A6"/>
    <w:rsid w:val="000B39C5"/>
    <w:rsid w:val="000B50F1"/>
    <w:rsid w:val="000C41BE"/>
    <w:rsid w:val="000C48BE"/>
    <w:rsid w:val="000C614C"/>
    <w:rsid w:val="000C6C52"/>
    <w:rsid w:val="000D1904"/>
    <w:rsid w:val="000D2DA8"/>
    <w:rsid w:val="000D512E"/>
    <w:rsid w:val="000D70D0"/>
    <w:rsid w:val="000E0152"/>
    <w:rsid w:val="000E106D"/>
    <w:rsid w:val="000E370D"/>
    <w:rsid w:val="000E65A4"/>
    <w:rsid w:val="001042AB"/>
    <w:rsid w:val="00105533"/>
    <w:rsid w:val="001072FB"/>
    <w:rsid w:val="00116659"/>
    <w:rsid w:val="001175AA"/>
    <w:rsid w:val="00125A3A"/>
    <w:rsid w:val="00125C4A"/>
    <w:rsid w:val="00126916"/>
    <w:rsid w:val="00126980"/>
    <w:rsid w:val="001303DD"/>
    <w:rsid w:val="001348DA"/>
    <w:rsid w:val="001365B5"/>
    <w:rsid w:val="00136CD0"/>
    <w:rsid w:val="0013737F"/>
    <w:rsid w:val="00142BF2"/>
    <w:rsid w:val="001447C1"/>
    <w:rsid w:val="00145BCA"/>
    <w:rsid w:val="0014699B"/>
    <w:rsid w:val="0015216F"/>
    <w:rsid w:val="00153523"/>
    <w:rsid w:val="00157729"/>
    <w:rsid w:val="00164587"/>
    <w:rsid w:val="001665A3"/>
    <w:rsid w:val="001743EF"/>
    <w:rsid w:val="00174A31"/>
    <w:rsid w:val="001753E5"/>
    <w:rsid w:val="00177232"/>
    <w:rsid w:val="001813F5"/>
    <w:rsid w:val="00187186"/>
    <w:rsid w:val="00195F60"/>
    <w:rsid w:val="001978EB"/>
    <w:rsid w:val="001A008B"/>
    <w:rsid w:val="001A2AF1"/>
    <w:rsid w:val="001C013E"/>
    <w:rsid w:val="001D1743"/>
    <w:rsid w:val="001D17CF"/>
    <w:rsid w:val="001D584E"/>
    <w:rsid w:val="001E2543"/>
    <w:rsid w:val="001E5D7F"/>
    <w:rsid w:val="001E6C60"/>
    <w:rsid w:val="001F00DD"/>
    <w:rsid w:val="001F238A"/>
    <w:rsid w:val="002171A2"/>
    <w:rsid w:val="002175E1"/>
    <w:rsid w:val="002217D1"/>
    <w:rsid w:val="00225BD4"/>
    <w:rsid w:val="002264B8"/>
    <w:rsid w:val="00234FBB"/>
    <w:rsid w:val="00235361"/>
    <w:rsid w:val="00236F62"/>
    <w:rsid w:val="00237D76"/>
    <w:rsid w:val="00245FAE"/>
    <w:rsid w:val="00251FCE"/>
    <w:rsid w:val="00252F13"/>
    <w:rsid w:val="00254313"/>
    <w:rsid w:val="0026513E"/>
    <w:rsid w:val="002729A5"/>
    <w:rsid w:val="00285137"/>
    <w:rsid w:val="002862C1"/>
    <w:rsid w:val="00286449"/>
    <w:rsid w:val="0028695E"/>
    <w:rsid w:val="00287EC3"/>
    <w:rsid w:val="00293F29"/>
    <w:rsid w:val="002941D1"/>
    <w:rsid w:val="002A2A12"/>
    <w:rsid w:val="002C05D0"/>
    <w:rsid w:val="002C6338"/>
    <w:rsid w:val="002C6429"/>
    <w:rsid w:val="002D096D"/>
    <w:rsid w:val="002D11FE"/>
    <w:rsid w:val="002D2CB2"/>
    <w:rsid w:val="002D35EC"/>
    <w:rsid w:val="002D3FE3"/>
    <w:rsid w:val="002D5E8B"/>
    <w:rsid w:val="002E4A97"/>
    <w:rsid w:val="002E71C4"/>
    <w:rsid w:val="002F226A"/>
    <w:rsid w:val="00301DC2"/>
    <w:rsid w:val="003227FD"/>
    <w:rsid w:val="00325A55"/>
    <w:rsid w:val="003272CB"/>
    <w:rsid w:val="003343DB"/>
    <w:rsid w:val="00336655"/>
    <w:rsid w:val="00342B3C"/>
    <w:rsid w:val="00346554"/>
    <w:rsid w:val="003503EB"/>
    <w:rsid w:val="00350767"/>
    <w:rsid w:val="00350E4B"/>
    <w:rsid w:val="00350E4E"/>
    <w:rsid w:val="003533A1"/>
    <w:rsid w:val="003651DE"/>
    <w:rsid w:val="00367CB8"/>
    <w:rsid w:val="003711C0"/>
    <w:rsid w:val="00373197"/>
    <w:rsid w:val="00380C5C"/>
    <w:rsid w:val="0038390A"/>
    <w:rsid w:val="00387437"/>
    <w:rsid w:val="003A0BBF"/>
    <w:rsid w:val="003A3C08"/>
    <w:rsid w:val="003A6449"/>
    <w:rsid w:val="003A73D2"/>
    <w:rsid w:val="003B3F46"/>
    <w:rsid w:val="003B4DDE"/>
    <w:rsid w:val="003B625C"/>
    <w:rsid w:val="003C0C28"/>
    <w:rsid w:val="003C0F32"/>
    <w:rsid w:val="003C6CAC"/>
    <w:rsid w:val="003D3516"/>
    <w:rsid w:val="003E1394"/>
    <w:rsid w:val="003E582F"/>
    <w:rsid w:val="003E5F94"/>
    <w:rsid w:val="00401B59"/>
    <w:rsid w:val="00405CE5"/>
    <w:rsid w:val="00412014"/>
    <w:rsid w:val="0041604F"/>
    <w:rsid w:val="00427DD9"/>
    <w:rsid w:val="004317DB"/>
    <w:rsid w:val="00432C5C"/>
    <w:rsid w:val="00437C19"/>
    <w:rsid w:val="00461D1F"/>
    <w:rsid w:val="00470148"/>
    <w:rsid w:val="00470526"/>
    <w:rsid w:val="0047160F"/>
    <w:rsid w:val="004848A4"/>
    <w:rsid w:val="004A0755"/>
    <w:rsid w:val="004A6BE3"/>
    <w:rsid w:val="004B078F"/>
    <w:rsid w:val="004C4371"/>
    <w:rsid w:val="004C7D38"/>
    <w:rsid w:val="004D0D86"/>
    <w:rsid w:val="004D10C6"/>
    <w:rsid w:val="004D2643"/>
    <w:rsid w:val="004D294E"/>
    <w:rsid w:val="004D3D03"/>
    <w:rsid w:val="004D4586"/>
    <w:rsid w:val="004D6329"/>
    <w:rsid w:val="004E034B"/>
    <w:rsid w:val="004E17FC"/>
    <w:rsid w:val="004E274E"/>
    <w:rsid w:val="004E3B81"/>
    <w:rsid w:val="004E517F"/>
    <w:rsid w:val="004F54F4"/>
    <w:rsid w:val="004F778E"/>
    <w:rsid w:val="004F7A38"/>
    <w:rsid w:val="00501215"/>
    <w:rsid w:val="0050148F"/>
    <w:rsid w:val="00502F91"/>
    <w:rsid w:val="00520AAA"/>
    <w:rsid w:val="00520B2A"/>
    <w:rsid w:val="005338E4"/>
    <w:rsid w:val="00540DF9"/>
    <w:rsid w:val="0054286C"/>
    <w:rsid w:val="00543E5A"/>
    <w:rsid w:val="00545A32"/>
    <w:rsid w:val="0054645F"/>
    <w:rsid w:val="00556890"/>
    <w:rsid w:val="005616ED"/>
    <w:rsid w:val="005629D0"/>
    <w:rsid w:val="00564A4E"/>
    <w:rsid w:val="00564C3A"/>
    <w:rsid w:val="005707FF"/>
    <w:rsid w:val="005815B6"/>
    <w:rsid w:val="00584E85"/>
    <w:rsid w:val="005871DA"/>
    <w:rsid w:val="00587695"/>
    <w:rsid w:val="0059054D"/>
    <w:rsid w:val="005914A5"/>
    <w:rsid w:val="0059316B"/>
    <w:rsid w:val="005949A8"/>
    <w:rsid w:val="005A077D"/>
    <w:rsid w:val="005A4320"/>
    <w:rsid w:val="005A498D"/>
    <w:rsid w:val="005C19CA"/>
    <w:rsid w:val="005C278C"/>
    <w:rsid w:val="005C4522"/>
    <w:rsid w:val="005D49BF"/>
    <w:rsid w:val="005F30C3"/>
    <w:rsid w:val="005F3F41"/>
    <w:rsid w:val="005F7863"/>
    <w:rsid w:val="0060353B"/>
    <w:rsid w:val="00620876"/>
    <w:rsid w:val="00624418"/>
    <w:rsid w:val="00624FD0"/>
    <w:rsid w:val="00630C5E"/>
    <w:rsid w:val="006315B4"/>
    <w:rsid w:val="00635AC3"/>
    <w:rsid w:val="00636FFB"/>
    <w:rsid w:val="00654CCF"/>
    <w:rsid w:val="00656C00"/>
    <w:rsid w:val="00665F82"/>
    <w:rsid w:val="0067186C"/>
    <w:rsid w:val="00671E11"/>
    <w:rsid w:val="006779DA"/>
    <w:rsid w:val="00687EB3"/>
    <w:rsid w:val="00692980"/>
    <w:rsid w:val="00693246"/>
    <w:rsid w:val="0069506F"/>
    <w:rsid w:val="00696582"/>
    <w:rsid w:val="006A1DBB"/>
    <w:rsid w:val="006B4E40"/>
    <w:rsid w:val="006C02A7"/>
    <w:rsid w:val="006C103A"/>
    <w:rsid w:val="006C4A1D"/>
    <w:rsid w:val="006C4E6A"/>
    <w:rsid w:val="006C50E8"/>
    <w:rsid w:val="006C7FC2"/>
    <w:rsid w:val="006D464D"/>
    <w:rsid w:val="006E6F11"/>
    <w:rsid w:val="006F0B6B"/>
    <w:rsid w:val="006F144D"/>
    <w:rsid w:val="006F42D1"/>
    <w:rsid w:val="006F461B"/>
    <w:rsid w:val="006F622C"/>
    <w:rsid w:val="00700FF6"/>
    <w:rsid w:val="00704D44"/>
    <w:rsid w:val="00715A68"/>
    <w:rsid w:val="00715DD5"/>
    <w:rsid w:val="00715ECF"/>
    <w:rsid w:val="00717A04"/>
    <w:rsid w:val="00717BFE"/>
    <w:rsid w:val="007208C5"/>
    <w:rsid w:val="00725BB4"/>
    <w:rsid w:val="0073180A"/>
    <w:rsid w:val="00732997"/>
    <w:rsid w:val="007336C3"/>
    <w:rsid w:val="00735033"/>
    <w:rsid w:val="00743837"/>
    <w:rsid w:val="00746FB2"/>
    <w:rsid w:val="007477FF"/>
    <w:rsid w:val="00756485"/>
    <w:rsid w:val="0075705D"/>
    <w:rsid w:val="007626E1"/>
    <w:rsid w:val="00767F65"/>
    <w:rsid w:val="00770D6C"/>
    <w:rsid w:val="00783515"/>
    <w:rsid w:val="00787C94"/>
    <w:rsid w:val="00791BCB"/>
    <w:rsid w:val="007921BD"/>
    <w:rsid w:val="00793A02"/>
    <w:rsid w:val="00795C6B"/>
    <w:rsid w:val="007A1566"/>
    <w:rsid w:val="007A3995"/>
    <w:rsid w:val="007A5AC5"/>
    <w:rsid w:val="007B622D"/>
    <w:rsid w:val="007C4288"/>
    <w:rsid w:val="007C484E"/>
    <w:rsid w:val="007D4853"/>
    <w:rsid w:val="007D57C4"/>
    <w:rsid w:val="007E0429"/>
    <w:rsid w:val="007E41DE"/>
    <w:rsid w:val="007E4CE3"/>
    <w:rsid w:val="007F2B1F"/>
    <w:rsid w:val="00802F7A"/>
    <w:rsid w:val="00806A1C"/>
    <w:rsid w:val="0080773A"/>
    <w:rsid w:val="00814478"/>
    <w:rsid w:val="008173F3"/>
    <w:rsid w:val="0082117C"/>
    <w:rsid w:val="008227E9"/>
    <w:rsid w:val="008252C5"/>
    <w:rsid w:val="00831860"/>
    <w:rsid w:val="00832F2D"/>
    <w:rsid w:val="00834B6B"/>
    <w:rsid w:val="00836C6A"/>
    <w:rsid w:val="00841C9F"/>
    <w:rsid w:val="0084294E"/>
    <w:rsid w:val="00843EFF"/>
    <w:rsid w:val="008442A5"/>
    <w:rsid w:val="008477A9"/>
    <w:rsid w:val="0085416A"/>
    <w:rsid w:val="00856B0F"/>
    <w:rsid w:val="0087186A"/>
    <w:rsid w:val="00872C56"/>
    <w:rsid w:val="00874F67"/>
    <w:rsid w:val="00876AC2"/>
    <w:rsid w:val="008803CA"/>
    <w:rsid w:val="00883F43"/>
    <w:rsid w:val="00884C98"/>
    <w:rsid w:val="00884CE2"/>
    <w:rsid w:val="00885E7D"/>
    <w:rsid w:val="0089363F"/>
    <w:rsid w:val="00894D05"/>
    <w:rsid w:val="00896ED8"/>
    <w:rsid w:val="008A209D"/>
    <w:rsid w:val="008A2436"/>
    <w:rsid w:val="008A39D8"/>
    <w:rsid w:val="008A4E8C"/>
    <w:rsid w:val="008A563D"/>
    <w:rsid w:val="008B3B0A"/>
    <w:rsid w:val="008C2BA0"/>
    <w:rsid w:val="008C3B63"/>
    <w:rsid w:val="008C69F2"/>
    <w:rsid w:val="008D1D44"/>
    <w:rsid w:val="008D3E6C"/>
    <w:rsid w:val="008E04EC"/>
    <w:rsid w:val="008E43F4"/>
    <w:rsid w:val="008F01A0"/>
    <w:rsid w:val="008F42F6"/>
    <w:rsid w:val="008F5282"/>
    <w:rsid w:val="00912BAC"/>
    <w:rsid w:val="00925058"/>
    <w:rsid w:val="00926CDB"/>
    <w:rsid w:val="00930113"/>
    <w:rsid w:val="009356EC"/>
    <w:rsid w:val="00937FB2"/>
    <w:rsid w:val="0094114F"/>
    <w:rsid w:val="0095690D"/>
    <w:rsid w:val="009609C5"/>
    <w:rsid w:val="00960C60"/>
    <w:rsid w:val="00965B1A"/>
    <w:rsid w:val="00971B57"/>
    <w:rsid w:val="00976933"/>
    <w:rsid w:val="00981893"/>
    <w:rsid w:val="00984974"/>
    <w:rsid w:val="00986438"/>
    <w:rsid w:val="00987DBF"/>
    <w:rsid w:val="009970F9"/>
    <w:rsid w:val="009A5590"/>
    <w:rsid w:val="009C3837"/>
    <w:rsid w:val="009C44BD"/>
    <w:rsid w:val="009C537F"/>
    <w:rsid w:val="009D0585"/>
    <w:rsid w:val="009D2BB3"/>
    <w:rsid w:val="009E0846"/>
    <w:rsid w:val="009E1EF4"/>
    <w:rsid w:val="009E1F32"/>
    <w:rsid w:val="009E4BD5"/>
    <w:rsid w:val="009F1BE0"/>
    <w:rsid w:val="009F4057"/>
    <w:rsid w:val="009F7CED"/>
    <w:rsid w:val="00A04569"/>
    <w:rsid w:val="00A05D99"/>
    <w:rsid w:val="00A0736A"/>
    <w:rsid w:val="00A07DE7"/>
    <w:rsid w:val="00A120D6"/>
    <w:rsid w:val="00A1301A"/>
    <w:rsid w:val="00A14C37"/>
    <w:rsid w:val="00A161B9"/>
    <w:rsid w:val="00A219D7"/>
    <w:rsid w:val="00A2785C"/>
    <w:rsid w:val="00A3131A"/>
    <w:rsid w:val="00A33DCF"/>
    <w:rsid w:val="00A377FE"/>
    <w:rsid w:val="00A4128C"/>
    <w:rsid w:val="00A41AEF"/>
    <w:rsid w:val="00A447B3"/>
    <w:rsid w:val="00A500DD"/>
    <w:rsid w:val="00A52C3F"/>
    <w:rsid w:val="00A54918"/>
    <w:rsid w:val="00A55DB6"/>
    <w:rsid w:val="00A56875"/>
    <w:rsid w:val="00A61784"/>
    <w:rsid w:val="00A61AA7"/>
    <w:rsid w:val="00A63127"/>
    <w:rsid w:val="00A64120"/>
    <w:rsid w:val="00A72973"/>
    <w:rsid w:val="00A74AFD"/>
    <w:rsid w:val="00A80613"/>
    <w:rsid w:val="00A83A98"/>
    <w:rsid w:val="00A8403E"/>
    <w:rsid w:val="00A85AEA"/>
    <w:rsid w:val="00A87E6A"/>
    <w:rsid w:val="00A94019"/>
    <w:rsid w:val="00A97EE2"/>
    <w:rsid w:val="00AA28E8"/>
    <w:rsid w:val="00AA7EC1"/>
    <w:rsid w:val="00AB0708"/>
    <w:rsid w:val="00AB0C45"/>
    <w:rsid w:val="00AB6652"/>
    <w:rsid w:val="00AC1AF8"/>
    <w:rsid w:val="00AC447D"/>
    <w:rsid w:val="00AD5446"/>
    <w:rsid w:val="00AD5B38"/>
    <w:rsid w:val="00AD623F"/>
    <w:rsid w:val="00AE03F3"/>
    <w:rsid w:val="00AF3769"/>
    <w:rsid w:val="00AF5E71"/>
    <w:rsid w:val="00B10403"/>
    <w:rsid w:val="00B13AE3"/>
    <w:rsid w:val="00B24252"/>
    <w:rsid w:val="00B25550"/>
    <w:rsid w:val="00B30DCD"/>
    <w:rsid w:val="00B377D3"/>
    <w:rsid w:val="00B4178F"/>
    <w:rsid w:val="00B4216E"/>
    <w:rsid w:val="00B448DC"/>
    <w:rsid w:val="00B463AC"/>
    <w:rsid w:val="00B51095"/>
    <w:rsid w:val="00B6123C"/>
    <w:rsid w:val="00B61CA6"/>
    <w:rsid w:val="00B629C9"/>
    <w:rsid w:val="00B65F1B"/>
    <w:rsid w:val="00B66D03"/>
    <w:rsid w:val="00B7000F"/>
    <w:rsid w:val="00B729FC"/>
    <w:rsid w:val="00B73EC6"/>
    <w:rsid w:val="00B766E4"/>
    <w:rsid w:val="00B8326D"/>
    <w:rsid w:val="00B84AF8"/>
    <w:rsid w:val="00B937B6"/>
    <w:rsid w:val="00BA3EE6"/>
    <w:rsid w:val="00BA450F"/>
    <w:rsid w:val="00BB545F"/>
    <w:rsid w:val="00BD4B65"/>
    <w:rsid w:val="00BD5CBB"/>
    <w:rsid w:val="00BE280C"/>
    <w:rsid w:val="00BF054E"/>
    <w:rsid w:val="00BF0DB9"/>
    <w:rsid w:val="00BF18A3"/>
    <w:rsid w:val="00BF1D4A"/>
    <w:rsid w:val="00C02F0E"/>
    <w:rsid w:val="00C12168"/>
    <w:rsid w:val="00C12B93"/>
    <w:rsid w:val="00C134C3"/>
    <w:rsid w:val="00C26C14"/>
    <w:rsid w:val="00C27D76"/>
    <w:rsid w:val="00C31D59"/>
    <w:rsid w:val="00C36892"/>
    <w:rsid w:val="00C4009A"/>
    <w:rsid w:val="00C401C2"/>
    <w:rsid w:val="00C429E3"/>
    <w:rsid w:val="00C46330"/>
    <w:rsid w:val="00C47F73"/>
    <w:rsid w:val="00C52E86"/>
    <w:rsid w:val="00C553E9"/>
    <w:rsid w:val="00C57009"/>
    <w:rsid w:val="00C6077B"/>
    <w:rsid w:val="00C61441"/>
    <w:rsid w:val="00C65895"/>
    <w:rsid w:val="00C7294E"/>
    <w:rsid w:val="00C91F90"/>
    <w:rsid w:val="00CA1CB3"/>
    <w:rsid w:val="00CA57DF"/>
    <w:rsid w:val="00CB0063"/>
    <w:rsid w:val="00CB219D"/>
    <w:rsid w:val="00CB4D37"/>
    <w:rsid w:val="00CB66F7"/>
    <w:rsid w:val="00CC0C62"/>
    <w:rsid w:val="00CC259C"/>
    <w:rsid w:val="00CC42D1"/>
    <w:rsid w:val="00CC5B3E"/>
    <w:rsid w:val="00CD2A12"/>
    <w:rsid w:val="00CE0885"/>
    <w:rsid w:val="00CE1A87"/>
    <w:rsid w:val="00CF25EF"/>
    <w:rsid w:val="00D04A96"/>
    <w:rsid w:val="00D05B67"/>
    <w:rsid w:val="00D05D52"/>
    <w:rsid w:val="00D146A6"/>
    <w:rsid w:val="00D22709"/>
    <w:rsid w:val="00D24980"/>
    <w:rsid w:val="00D26D53"/>
    <w:rsid w:val="00D31F43"/>
    <w:rsid w:val="00D40E59"/>
    <w:rsid w:val="00D415E6"/>
    <w:rsid w:val="00D444C5"/>
    <w:rsid w:val="00D50252"/>
    <w:rsid w:val="00D5166D"/>
    <w:rsid w:val="00D530DC"/>
    <w:rsid w:val="00D61E7A"/>
    <w:rsid w:val="00D62023"/>
    <w:rsid w:val="00D652D8"/>
    <w:rsid w:val="00D7070F"/>
    <w:rsid w:val="00D709DD"/>
    <w:rsid w:val="00D8294A"/>
    <w:rsid w:val="00D83F98"/>
    <w:rsid w:val="00D84A75"/>
    <w:rsid w:val="00D85F90"/>
    <w:rsid w:val="00D90649"/>
    <w:rsid w:val="00D90C6D"/>
    <w:rsid w:val="00D91E89"/>
    <w:rsid w:val="00D9213D"/>
    <w:rsid w:val="00D9524E"/>
    <w:rsid w:val="00D965B1"/>
    <w:rsid w:val="00D97CB0"/>
    <w:rsid w:val="00D97DF9"/>
    <w:rsid w:val="00DA6526"/>
    <w:rsid w:val="00DA6C54"/>
    <w:rsid w:val="00DC54A3"/>
    <w:rsid w:val="00DD181C"/>
    <w:rsid w:val="00DD2F2C"/>
    <w:rsid w:val="00DD48D9"/>
    <w:rsid w:val="00DE1540"/>
    <w:rsid w:val="00DE236F"/>
    <w:rsid w:val="00DE520C"/>
    <w:rsid w:val="00DF1E66"/>
    <w:rsid w:val="00DF60FD"/>
    <w:rsid w:val="00DF6410"/>
    <w:rsid w:val="00E007F7"/>
    <w:rsid w:val="00E05F18"/>
    <w:rsid w:val="00E06A27"/>
    <w:rsid w:val="00E12202"/>
    <w:rsid w:val="00E1493F"/>
    <w:rsid w:val="00E242C5"/>
    <w:rsid w:val="00E24673"/>
    <w:rsid w:val="00E24F26"/>
    <w:rsid w:val="00E261B4"/>
    <w:rsid w:val="00E31E85"/>
    <w:rsid w:val="00E407FF"/>
    <w:rsid w:val="00E40C34"/>
    <w:rsid w:val="00E41E2C"/>
    <w:rsid w:val="00E432AC"/>
    <w:rsid w:val="00E44207"/>
    <w:rsid w:val="00E51145"/>
    <w:rsid w:val="00E66C57"/>
    <w:rsid w:val="00E66D00"/>
    <w:rsid w:val="00E67F90"/>
    <w:rsid w:val="00E7224C"/>
    <w:rsid w:val="00E729F2"/>
    <w:rsid w:val="00E75DBD"/>
    <w:rsid w:val="00E805D3"/>
    <w:rsid w:val="00E80826"/>
    <w:rsid w:val="00E84DA1"/>
    <w:rsid w:val="00E91332"/>
    <w:rsid w:val="00E94AE9"/>
    <w:rsid w:val="00EA3045"/>
    <w:rsid w:val="00EA4C90"/>
    <w:rsid w:val="00EC1DE8"/>
    <w:rsid w:val="00EC3535"/>
    <w:rsid w:val="00EC35AE"/>
    <w:rsid w:val="00ED4708"/>
    <w:rsid w:val="00EE0D69"/>
    <w:rsid w:val="00EE0F26"/>
    <w:rsid w:val="00EE2ABB"/>
    <w:rsid w:val="00EF192B"/>
    <w:rsid w:val="00EF4E56"/>
    <w:rsid w:val="00F06920"/>
    <w:rsid w:val="00F06B8A"/>
    <w:rsid w:val="00F07A7D"/>
    <w:rsid w:val="00F153C1"/>
    <w:rsid w:val="00F16839"/>
    <w:rsid w:val="00F211E7"/>
    <w:rsid w:val="00F21D37"/>
    <w:rsid w:val="00F221F0"/>
    <w:rsid w:val="00F22F8D"/>
    <w:rsid w:val="00F26136"/>
    <w:rsid w:val="00F270BA"/>
    <w:rsid w:val="00F2713B"/>
    <w:rsid w:val="00F305D8"/>
    <w:rsid w:val="00F37106"/>
    <w:rsid w:val="00F44A2E"/>
    <w:rsid w:val="00F47D57"/>
    <w:rsid w:val="00F55DC4"/>
    <w:rsid w:val="00F576B3"/>
    <w:rsid w:val="00F64020"/>
    <w:rsid w:val="00F745E1"/>
    <w:rsid w:val="00F75A79"/>
    <w:rsid w:val="00F7620E"/>
    <w:rsid w:val="00F775AD"/>
    <w:rsid w:val="00F80E07"/>
    <w:rsid w:val="00F90326"/>
    <w:rsid w:val="00F90F86"/>
    <w:rsid w:val="00F92DF0"/>
    <w:rsid w:val="00FA0454"/>
    <w:rsid w:val="00FA4A9E"/>
    <w:rsid w:val="00FB1248"/>
    <w:rsid w:val="00FB217D"/>
    <w:rsid w:val="00FB29CC"/>
    <w:rsid w:val="00FB4658"/>
    <w:rsid w:val="00FC0522"/>
    <w:rsid w:val="00FC2DE3"/>
    <w:rsid w:val="00FC6CD6"/>
    <w:rsid w:val="00FD3D04"/>
    <w:rsid w:val="00FD49A0"/>
    <w:rsid w:val="00FD5234"/>
    <w:rsid w:val="00FE27DE"/>
    <w:rsid w:val="00FF54FD"/>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739167"/>
  <w15:chartTrackingRefBased/>
  <w15:docId w15:val="{AFA7C0A7-BF15-4105-9B59-57C891A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semiHidden/>
    <w:rsid w:val="00885E7D"/>
    <w:rPr>
      <w:sz w:val="16"/>
      <w:szCs w:val="16"/>
    </w:rPr>
  </w:style>
  <w:style w:type="paragraph" w:styleId="Textocomentario">
    <w:name w:val="annotation text"/>
    <w:basedOn w:val="Normal"/>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CD2A12"/>
    <w:pPr>
      <w:ind w:left="720"/>
      <w:contextualSpacing/>
    </w:pPr>
  </w:style>
  <w:style w:type="character" w:styleId="nfasis">
    <w:name w:val="Emphasis"/>
    <w:basedOn w:val="Fuentedeprrafopredeter"/>
    <w:qFormat/>
    <w:rsid w:val="00092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439449647">
      <w:bodyDiv w:val="1"/>
      <w:marLeft w:val="0"/>
      <w:marRight w:val="0"/>
      <w:marTop w:val="0"/>
      <w:marBottom w:val="0"/>
      <w:divBdr>
        <w:top w:val="none" w:sz="0" w:space="0" w:color="auto"/>
        <w:left w:val="none" w:sz="0" w:space="0" w:color="auto"/>
        <w:bottom w:val="none" w:sz="0" w:space="0" w:color="auto"/>
        <w:right w:val="none" w:sz="0" w:space="0" w:color="auto"/>
      </w:divBdr>
      <w:divsChild>
        <w:div w:id="1628462043">
          <w:marLeft w:val="0"/>
          <w:marRight w:val="0"/>
          <w:marTop w:val="0"/>
          <w:marBottom w:val="0"/>
          <w:divBdr>
            <w:top w:val="none" w:sz="0" w:space="0" w:color="auto"/>
            <w:left w:val="none" w:sz="0" w:space="0" w:color="auto"/>
            <w:bottom w:val="none" w:sz="0" w:space="0" w:color="auto"/>
            <w:right w:val="none" w:sz="0" w:space="0" w:color="auto"/>
          </w:divBdr>
        </w:div>
        <w:div w:id="2044942227">
          <w:marLeft w:val="0"/>
          <w:marRight w:val="0"/>
          <w:marTop w:val="0"/>
          <w:marBottom w:val="0"/>
          <w:divBdr>
            <w:top w:val="none" w:sz="0" w:space="0" w:color="auto"/>
            <w:left w:val="none" w:sz="0" w:space="0" w:color="auto"/>
            <w:bottom w:val="none" w:sz="0" w:space="0" w:color="auto"/>
            <w:right w:val="none" w:sz="0" w:space="0" w:color="auto"/>
          </w:divBdr>
        </w:div>
      </w:divsChild>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A65FJVFR3NAS-1820456951-8528</_dlc_DocId>
    <_dlc_DocIdUrl xmlns="fe5c55e1-1529-428c-8c16-ada3460a0e7a">
      <Url>http://tame/_layouts/15/DocIdRedir.aspx?ID=A65FJVFR3NAS-1820456951-8528</Url>
      <Description>A65FJVFR3NAS-1820456951-8528</Description>
    </_dlc_DocIdUrl>
  </documentManagement>
</p:properties>
</file>

<file path=customXml/itemProps1.xml><?xml version="1.0" encoding="utf-8"?>
<ds:datastoreItem xmlns:ds="http://schemas.openxmlformats.org/officeDocument/2006/customXml" ds:itemID="{97779A36-1529-4F53-B8E5-501354F07C34}">
  <ds:schemaRefs>
    <ds:schemaRef ds:uri="http://schemas.openxmlformats.org/officeDocument/2006/bibliography"/>
  </ds:schemaRefs>
</ds:datastoreItem>
</file>

<file path=customXml/itemProps2.xml><?xml version="1.0" encoding="utf-8"?>
<ds:datastoreItem xmlns:ds="http://schemas.openxmlformats.org/officeDocument/2006/customXml" ds:itemID="{40D2AD0D-3040-4AC8-8658-25504D1372F7}"/>
</file>

<file path=customXml/itemProps3.xml><?xml version="1.0" encoding="utf-8"?>
<ds:datastoreItem xmlns:ds="http://schemas.openxmlformats.org/officeDocument/2006/customXml" ds:itemID="{647B4B0E-6E57-4584-BF91-45B9C25D09C5}"/>
</file>

<file path=customXml/itemProps4.xml><?xml version="1.0" encoding="utf-8"?>
<ds:datastoreItem xmlns:ds="http://schemas.openxmlformats.org/officeDocument/2006/customXml" ds:itemID="{5301D6F2-69A7-4D1F-B7E0-73C61149E39B}"/>
</file>

<file path=customXml/itemProps5.xml><?xml version="1.0" encoding="utf-8"?>
<ds:datastoreItem xmlns:ds="http://schemas.openxmlformats.org/officeDocument/2006/customXml" ds:itemID="{E789796A-56BA-417C-96F6-D7E3D1008482}"/>
</file>

<file path=docProps/app.xml><?xml version="1.0" encoding="utf-8"?>
<Properties xmlns="http://schemas.openxmlformats.org/officeDocument/2006/extended-properties" xmlns:vt="http://schemas.openxmlformats.org/officeDocument/2006/docPropsVTypes">
  <Template>Normal.dotm</Template>
  <TotalTime>12</TotalTime>
  <Pages>4</Pages>
  <Words>1664</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Omar Alberto Baron Avendano</cp:lastModifiedBy>
  <cp:revision>5</cp:revision>
  <cp:lastPrinted>2019-07-08T22:30:00Z</cp:lastPrinted>
  <dcterms:created xsi:type="dcterms:W3CDTF">2021-10-04T21:58:00Z</dcterms:created>
  <dcterms:modified xsi:type="dcterms:W3CDTF">2021-10-04T22:40:00Z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b8885b43-4bd3-47ae-8525-c73f0809d3ae</vt:lpwstr>
  </property>
</Properties>
</file>